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91BE"/>
          <w:sz w:val="44"/>
        </w:rPr>
        <w:t>BATCHXPLORER Live</w:t>
      </w:r>
    </w:p>
    <w:p>
      <w:pPr>
        <w:jc w:val="center"/>
      </w:pPr>
      <w:r>
        <w:rPr>
          <w:b/>
          <w:sz w:val="36"/>
        </w:rPr>
        <w:t>Partner Ongoing Service Agreement Template</w:t>
      </w:r>
    </w:p>
    <w:p>
      <w:pPr>
        <w:jc w:val="center"/>
      </w:pPr>
      <w:r>
        <w:rPr>
          <w:i/>
          <w:sz w:val="20"/>
        </w:rPr>
        <w:t>For Partner-Led Customer Support, Edge / Historian Services, Training Support, and Validation Support Boundaries</w:t>
      </w:r>
    </w:p>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880"/>
            <w:shd w:fill="D9EAF7"/>
          </w:tcPr>
          <w:p>
            <w:r>
              <w:rPr>
                <w:b/>
                <w:sz w:val="17"/>
              </w:rPr>
              <w:t>Field</w:t>
            </w:r>
          </w:p>
        </w:tc>
        <w:tc>
          <w:tcPr>
            <w:tcW w:type="dxa" w:w="6912"/>
            <w:shd w:fill="D9EAF7"/>
          </w:tcPr>
          <w:p>
            <w:r>
              <w:rPr>
                <w:b/>
                <w:sz w:val="17"/>
              </w:rPr>
              <w:t>Entry</w:t>
            </w:r>
          </w:p>
        </w:tc>
      </w:tr>
      <w:tr>
        <w:tc>
          <w:tcPr>
            <w:tcW w:type="dxa" w:w="2880"/>
            <w:vAlign w:val="top"/>
          </w:tcPr>
          <w:p>
            <w:r>
              <w:rPr>
                <w:sz w:val="17"/>
              </w:rPr>
              <w:t>Template version</w:t>
            </w:r>
          </w:p>
        </w:tc>
        <w:tc>
          <w:tcPr>
            <w:tcW w:type="dxa" w:w="6912"/>
            <w:vAlign w:val="top"/>
          </w:tcPr>
          <w:p>
            <w:r>
              <w:rPr>
                <w:sz w:val="17"/>
              </w:rPr>
              <w:t>v2.0 draft</w:t>
            </w:r>
          </w:p>
        </w:tc>
      </w:tr>
      <w:tr>
        <w:tc>
          <w:tcPr>
            <w:tcW w:type="dxa" w:w="2880"/>
            <w:vAlign w:val="top"/>
          </w:tcPr>
          <w:p>
            <w:r>
              <w:rPr>
                <w:sz w:val="17"/>
              </w:rPr>
              <w:t>Prepared for</w:t>
            </w:r>
          </w:p>
        </w:tc>
        <w:tc>
          <w:tcPr>
            <w:tcW w:type="dxa" w:w="6912"/>
            <w:vAlign w:val="top"/>
          </w:tcPr>
          <w:p>
            <w:r>
              <w:rPr>
                <w:sz w:val="17"/>
              </w:rPr>
              <w:t>Theloris Solutions, LLC / BATCHXPLORER Live channel partners</w:t>
            </w:r>
          </w:p>
        </w:tc>
      </w:tr>
      <w:tr>
        <w:tc>
          <w:tcPr>
            <w:tcW w:type="dxa" w:w="2880"/>
            <w:vAlign w:val="top"/>
          </w:tcPr>
          <w:p>
            <w:r>
              <w:rPr>
                <w:sz w:val="17"/>
              </w:rPr>
              <w:t>Partner / Service Provider</w:t>
            </w:r>
          </w:p>
        </w:tc>
        <w:tc>
          <w:tcPr>
            <w:tcW w:type="dxa" w:w="6912"/>
            <w:vAlign w:val="top"/>
          </w:tcPr>
          <w:p>
            <w:r>
              <w:rPr>
                <w:sz w:val="17"/>
              </w:rPr>
              <w:t>[Partner legal name]</w:t>
            </w:r>
          </w:p>
        </w:tc>
      </w:tr>
      <w:tr>
        <w:tc>
          <w:tcPr>
            <w:tcW w:type="dxa" w:w="2880"/>
            <w:vAlign w:val="top"/>
          </w:tcPr>
          <w:p>
            <w:r>
              <w:rPr>
                <w:sz w:val="17"/>
              </w:rPr>
              <w:t>Customer</w:t>
            </w:r>
          </w:p>
        </w:tc>
        <w:tc>
          <w:tcPr>
            <w:tcW w:type="dxa" w:w="6912"/>
            <w:vAlign w:val="top"/>
          </w:tcPr>
          <w:p>
            <w:r>
              <w:rPr>
                <w:sz w:val="17"/>
              </w:rPr>
              <w:t>[Customer legal name]</w:t>
            </w:r>
          </w:p>
        </w:tc>
      </w:tr>
      <w:tr>
        <w:tc>
          <w:tcPr>
            <w:tcW w:type="dxa" w:w="2880"/>
            <w:vAlign w:val="top"/>
          </w:tcPr>
          <w:p>
            <w:r>
              <w:rPr>
                <w:sz w:val="17"/>
              </w:rPr>
              <w:t>Effective date</w:t>
            </w:r>
          </w:p>
        </w:tc>
        <w:tc>
          <w:tcPr>
            <w:tcW w:type="dxa" w:w="6912"/>
            <w:vAlign w:val="top"/>
          </w:tcPr>
          <w:p>
            <w:r>
              <w:rPr>
                <w:sz w:val="17"/>
              </w:rPr>
              <w:t>[Effective date]</w:t>
            </w:r>
          </w:p>
        </w:tc>
      </w:tr>
      <w:tr>
        <w:tc>
          <w:tcPr>
            <w:tcW w:type="dxa" w:w="2880"/>
            <w:vAlign w:val="top"/>
          </w:tcPr>
          <w:p>
            <w:r>
              <w:rPr>
                <w:sz w:val="17"/>
              </w:rPr>
              <w:t>Initial term</w:t>
            </w:r>
          </w:p>
        </w:tc>
        <w:tc>
          <w:tcPr>
            <w:tcW w:type="dxa" w:w="6912"/>
            <w:vAlign w:val="top"/>
          </w:tcPr>
          <w:p>
            <w:r>
              <w:rPr>
                <w:sz w:val="17"/>
              </w:rPr>
              <w:t>[12 months / 24 months / other]</w:t>
            </w:r>
          </w:p>
        </w:tc>
      </w:tr>
      <w:tr>
        <w:tc>
          <w:tcPr>
            <w:tcW w:type="dxa" w:w="2880"/>
            <w:vAlign w:val="top"/>
          </w:tcPr>
          <w:p>
            <w:r>
              <w:rPr>
                <w:sz w:val="17"/>
              </w:rPr>
              <w:t>Agreement number</w:t>
            </w:r>
          </w:p>
        </w:tc>
        <w:tc>
          <w:tcPr>
            <w:tcW w:type="dxa" w:w="6912"/>
            <w:vAlign w:val="top"/>
          </w:tcPr>
          <w:p>
            <w:r>
              <w:rPr>
                <w:sz w:val="17"/>
              </w:rPr>
              <w:t>[Partner/customer agreement number]</w:t>
            </w:r>
          </w:p>
        </w:tc>
      </w:tr>
    </w:tbl>
    <w:p>
      <w:pPr>
        <w:ind w:left="216" w:right="216"/>
      </w:pPr>
      <w:r>
        <w:rPr>
          <w:i/>
          <w:color w:val="505050"/>
          <w:sz w:val="18"/>
        </w:rPr>
        <w:t>This template is intended as a business starting point for channel partners. It is not legal advice and should be reviewed by counsel before use. It is designed to keep BATCHXPLORER SaaS subscriptions, partner-led services, and customer validation responsibilities clearly separated.</w:t>
      </w:r>
    </w:p>
    <w:p>
      <w:r>
        <w:br w:type="page"/>
      </w:r>
    </w:p>
    <w:p>
      <w:pPr>
        <w:pStyle w:val="Heading1"/>
      </w:pPr>
      <w:r>
        <w:rPr>
          <w:b/>
        </w:rPr>
        <w:t>1. Purpose and Relationship to BATCHXPLORER</w:t>
      </w:r>
    </w:p>
    <w:p>
      <w:r>
        <w:t>This Partner Ongoing Service Agreement (the "Agreement") is entered into by and between the service provider identified above ("Service Provider" or "Partner") and the customer identified above ("Customer"). The purpose of this Agreement is to define partner-led services associated with Customer’s BATCHXPLORER Live deployment, including support, edge/historian connectivity assistance, training support, validation support, and recurring service reporting.</w:t>
      </w:r>
    </w:p>
    <w:p>
      <w:r>
        <w:t>BATCHXPLORER Live is a configurable SaaS platform offered by Theloris Solutions, LLC ("Theloris"). Unless a separate written agreement expressly states otherwise, this Agreement does not modify the BATCHXPLORER SaaS subscription, licensing terms, product warranty, product roadmap, or Theloris support obligations. Partner services are scoped separately from the SaaS subscription and are provided under this Agreement and any applicable Statement of Work ("SOW").</w:t>
      </w:r>
    </w:p>
    <w:p>
      <w:pPr>
        <w:pStyle w:val="ListBullet"/>
      </w:pPr>
      <w:r>
        <w:t>Partner may provide implementation, configuration, edge/historian, training, validation-support, or ongoing service activities under this Agreement.</w:t>
      </w:r>
    </w:p>
    <w:p>
      <w:pPr>
        <w:pStyle w:val="ListBullet"/>
      </w:pPr>
      <w:r>
        <w:t>Partner may not promise custom BATCHXPLORER source-code changes, automated QA batch release, product disposition, or GMP validation outcomes unless expressly authorized by Theloris and agreed in a signed SOW.</w:t>
      </w:r>
    </w:p>
    <w:p>
      <w:pPr>
        <w:pStyle w:val="ListBullet"/>
      </w:pPr>
      <w:r>
        <w:t>Customer remains responsible for its intended use, GMP procedures, validation strategy, user training, data stewardship, and release/disposition decisions.</w:t>
      </w:r>
    </w:p>
    <w:p>
      <w:pPr>
        <w:pStyle w:val="Heading1"/>
      </w:pPr>
      <w:r>
        <w:rPr>
          <w:b/>
        </w:rPr>
        <w:t>2. Definitions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304"/>
            <w:shd w:fill="D9EAF7"/>
          </w:tcPr>
          <w:p>
            <w:r>
              <w:rPr>
                <w:b/>
                <w:sz w:val="17"/>
              </w:rPr>
              <w:t>Term</w:t>
            </w:r>
          </w:p>
        </w:tc>
        <w:tc>
          <w:tcPr>
            <w:tcW w:type="dxa" w:w="7632"/>
            <w:shd w:fill="D9EAF7"/>
          </w:tcPr>
          <w:p>
            <w:r>
              <w:rPr>
                <w:b/>
                <w:sz w:val="17"/>
              </w:rPr>
              <w:t>Meaning</w:t>
            </w:r>
          </w:p>
        </w:tc>
      </w:tr>
      <w:tr>
        <w:tc>
          <w:tcPr>
            <w:tcW w:type="dxa" w:w="2304"/>
            <w:vAlign w:val="top"/>
          </w:tcPr>
          <w:p>
            <w:r>
              <w:rPr>
                <w:sz w:val="17"/>
              </w:rPr>
              <w:t>BATCHXPLORER SaaS</w:t>
            </w:r>
          </w:p>
        </w:tc>
        <w:tc>
          <w:tcPr>
            <w:tcW w:type="dxa" w:w="7632"/>
            <w:vAlign w:val="top"/>
          </w:tcPr>
          <w:p>
            <w:r>
              <w:rPr>
                <w:sz w:val="17"/>
              </w:rPr>
              <w:t>The configurable BATCHXPLORER Live software platform, including browser application, hosted services, feature modules, and associated Theloris-controlled software components.</w:t>
            </w:r>
          </w:p>
        </w:tc>
      </w:tr>
      <w:tr>
        <w:tc>
          <w:tcPr>
            <w:tcW w:type="dxa" w:w="2304"/>
            <w:vAlign w:val="top"/>
          </w:tcPr>
          <w:p>
            <w:r>
              <w:rPr>
                <w:sz w:val="17"/>
              </w:rPr>
              <w:t>Partner Services</w:t>
            </w:r>
          </w:p>
        </w:tc>
        <w:tc>
          <w:tcPr>
            <w:tcW w:type="dxa" w:w="7632"/>
            <w:vAlign w:val="top"/>
          </w:tcPr>
          <w:p>
            <w:r>
              <w:rPr>
                <w:sz w:val="17"/>
              </w:rPr>
              <w:t>Services provided by Partner under this Agreement or an SOW, such as edge installation assistance, historian/data-source setup, configuration support, training support, validation support, periodic review support, and ongoing customer support.</w:t>
            </w:r>
          </w:p>
        </w:tc>
      </w:tr>
      <w:tr>
        <w:tc>
          <w:tcPr>
            <w:tcW w:type="dxa" w:w="2304"/>
            <w:vAlign w:val="top"/>
          </w:tcPr>
          <w:p>
            <w:r>
              <w:rPr>
                <w:sz w:val="17"/>
              </w:rPr>
              <w:t>Edge Gateway Kit</w:t>
            </w:r>
          </w:p>
        </w:tc>
        <w:tc>
          <w:tcPr>
            <w:tcW w:type="dxa" w:w="7632"/>
            <w:vAlign w:val="top"/>
          </w:tcPr>
          <w:p>
            <w:r>
              <w:rPr>
                <w:sz w:val="17"/>
              </w:rPr>
              <w:t>The BATCHXPLORER-supported gateway package used for local connectivity, secure outbound data flow, protocol conversion, or related data-source integration activities.</w:t>
            </w:r>
          </w:p>
        </w:tc>
      </w:tr>
      <w:tr>
        <w:tc>
          <w:tcPr>
            <w:tcW w:type="dxa" w:w="2304"/>
            <w:vAlign w:val="top"/>
          </w:tcPr>
          <w:p>
            <w:r>
              <w:rPr>
                <w:sz w:val="17"/>
              </w:rPr>
              <w:t>Customer Data</w:t>
            </w:r>
          </w:p>
        </w:tc>
        <w:tc>
          <w:tcPr>
            <w:tcW w:type="dxa" w:w="7632"/>
            <w:vAlign w:val="top"/>
          </w:tcPr>
          <w:p>
            <w:r>
              <w:rPr>
                <w:sz w:val="17"/>
              </w:rPr>
              <w:t>Data, records, files, configuration information, process information, or other materials provided by or on behalf of Customer or generated through Customer’s use of BATCHXPLORER or Partner Services.</w:t>
            </w:r>
          </w:p>
        </w:tc>
      </w:tr>
      <w:tr>
        <w:tc>
          <w:tcPr>
            <w:tcW w:type="dxa" w:w="2304"/>
            <w:vAlign w:val="top"/>
          </w:tcPr>
          <w:p>
            <w:r>
              <w:rPr>
                <w:sz w:val="17"/>
              </w:rPr>
              <w:t>Services Boundary</w:t>
            </w:r>
          </w:p>
        </w:tc>
        <w:tc>
          <w:tcPr>
            <w:tcW w:type="dxa" w:w="7632"/>
            <w:vAlign w:val="top"/>
          </w:tcPr>
          <w:p>
            <w:r>
              <w:rPr>
                <w:sz w:val="17"/>
              </w:rPr>
              <w:t>The separation between Theloris SaaS/product responsibilities, Partner-delivered services, and Customer-retained responsibilities.</w:t>
            </w:r>
          </w:p>
        </w:tc>
      </w:tr>
      <w:tr>
        <w:tc>
          <w:tcPr>
            <w:tcW w:type="dxa" w:w="2304"/>
            <w:vAlign w:val="top"/>
          </w:tcPr>
          <w:p>
            <w:r>
              <w:rPr>
                <w:sz w:val="17"/>
              </w:rPr>
              <w:t>SOW</w:t>
            </w:r>
          </w:p>
        </w:tc>
        <w:tc>
          <w:tcPr>
            <w:tcW w:type="dxa" w:w="7632"/>
            <w:vAlign w:val="top"/>
          </w:tcPr>
          <w:p>
            <w:r>
              <w:rPr>
                <w:sz w:val="17"/>
              </w:rPr>
              <w:t>A signed Statement of Work describing specific services, deliverables, fees, assumptions, schedule, exclusions, and acceptance criteria.</w:t>
            </w:r>
          </w:p>
        </w:tc>
      </w:tr>
    </w:tbl>
    <w:p>
      <w:pPr>
        <w:pStyle w:val="Heading1"/>
      </w:pPr>
      <w:r>
        <w:rPr>
          <w:b/>
        </w:rPr>
        <w:t>3. Agreement Term; Statements of Work; Change Control</w:t>
      </w:r>
    </w:p>
    <w:p>
      <w:pPr>
        <w:pStyle w:val="ListBullet"/>
      </w:pPr>
      <w:r>
        <w:t>This Agreement begins on the Effective Date and continues for the Initial Term unless terminated earlier according to this Agreement.</w:t>
      </w:r>
    </w:p>
    <w:p>
      <w:pPr>
        <w:pStyle w:val="ListBullet"/>
      </w:pPr>
      <w:r>
        <w:t>Specific projects, installation services, validation support, training support, custom reporting services, or expanded support packages must be documented in one or more SOWs.</w:t>
      </w:r>
    </w:p>
    <w:p>
      <w:pPr>
        <w:pStyle w:val="ListBullet"/>
      </w:pPr>
      <w:r>
        <w:t>Each SOW should include scope, assumptions, deliverables, schedule, fees, payment milestones, required Customer resources, acceptance criteria, exclusions, and change-control process.</w:t>
      </w:r>
    </w:p>
    <w:p>
      <w:pPr>
        <w:pStyle w:val="ListBullet"/>
      </w:pPr>
      <w:r>
        <w:t>Partner shall not materially deviate from an approved SOW without written Customer approval.</w:t>
      </w:r>
    </w:p>
    <w:p>
      <w:pPr>
        <w:pStyle w:val="ListBullet"/>
      </w:pPr>
      <w:r>
        <w:t>Any work outside the approved SOW is subject to a written change order or separate SOW.</w:t>
      </w:r>
    </w:p>
    <w:p>
      <w:pPr>
        <w:ind w:left="216" w:right="216"/>
      </w:pPr>
      <w:r>
        <w:rPr>
          <w:i/>
          <w:color w:val="505050"/>
          <w:sz w:val="18"/>
        </w:rPr>
        <w:t>This structure follows the MSA/SOW model in the provided example agreement, which separates the master service terms from detailed SOW-level scope, budget, payment, and schedule controls. The example also states that service provider may not deviate from a SOW without prior written consent. See uploaded MSA sections 1.2 and 1.4.</w:t>
      </w:r>
    </w:p>
    <w:p>
      <w:pPr>
        <w:pStyle w:val="Heading1"/>
      </w:pPr>
      <w:r>
        <w:rPr>
          <w:b/>
        </w:rPr>
        <w:t>4. Scope of Partner Services</w:t>
      </w:r>
    </w:p>
    <w:p>
      <w:r>
        <w:t>Partner may provide one or more of the following services, if expressly included in an SOW or selected support package:</w:t>
      </w:r>
    </w:p>
    <w:p>
      <w:pPr>
        <w:pStyle w:val="ListBullet"/>
      </w:pPr>
      <w:r>
        <w:t>Remote or on-site deployment assistance for Edge Gateway Kit installation and network coordination.</w:t>
      </w:r>
    </w:p>
    <w:p>
      <w:pPr>
        <w:pStyle w:val="ListBullet"/>
      </w:pPr>
      <w:r>
        <w:t>Historian, PI Web API, OPC UA, MQTT, or approved data-source connectivity support.</w:t>
      </w:r>
    </w:p>
    <w:p>
      <w:pPr>
        <w:pStyle w:val="ListBullet"/>
      </w:pPr>
      <w:r>
        <w:t>BATCHXPLORER configuration support for suites, equipment, tags, roles, reports, recipes, and training/walkthrough references.</w:t>
      </w:r>
    </w:p>
    <w:p>
      <w:pPr>
        <w:pStyle w:val="ListBullet"/>
      </w:pPr>
      <w:r>
        <w:t>User onboarding, workflow coaching, Enhanced Training content support, or customer-specific training sessions.</w:t>
      </w:r>
    </w:p>
    <w:p>
      <w:pPr>
        <w:pStyle w:val="ListBullet"/>
      </w:pPr>
      <w:r>
        <w:t>Support for customer validation activities, including validation plan review, IQ/OQ/PQ support, traceability review, controlled report review, or periodic review assistance.</w:t>
      </w:r>
    </w:p>
    <w:p>
      <w:pPr>
        <w:pStyle w:val="ListBullet"/>
      </w:pPr>
      <w:r>
        <w:t>Periodic support, troubleshooting, ticket triage, health checks, monthly service reporting, renewal coordination, and expansion planning.</w:t>
      </w:r>
    </w:p>
    <w:p>
      <w:pPr>
        <w:pStyle w:val="Heading2"/>
      </w:pPr>
      <w:r>
        <w:rPr>
          <w:b/>
        </w:rPr>
        <w:t>4.1 Out-of-Scope Activities Unless Expressly Included in an SOW</w:t>
      </w:r>
    </w:p>
    <w:p>
      <w:pPr>
        <w:pStyle w:val="ListBullet"/>
      </w:pPr>
      <w:r>
        <w:t>Custom BATCHXPLORER source-code development or source-code fork for Customer.</w:t>
      </w:r>
    </w:p>
    <w:p>
      <w:pPr>
        <w:pStyle w:val="ListBullet"/>
      </w:pPr>
      <w:r>
        <w:t>Formal QA batch release, product disposition, or release-by-exception decision-making.</w:t>
      </w:r>
    </w:p>
    <w:p>
      <w:pPr>
        <w:pStyle w:val="ListBullet"/>
      </w:pPr>
      <w:r>
        <w:t>Customer’s final GMP validation approval, QA approval, deviation/CAPA ownership, or regulatory certification.</w:t>
      </w:r>
    </w:p>
    <w:p>
      <w:pPr>
        <w:pStyle w:val="ListBullet"/>
      </w:pPr>
      <w:r>
        <w:t>Unapproved direct database changes, uncontrolled migrations, or changes outside approved configuration workflows.</w:t>
      </w:r>
    </w:p>
    <w:p>
      <w:pPr>
        <w:pStyle w:val="ListBullet"/>
      </w:pPr>
      <w:r>
        <w:t>24x7 emergency response unless expressly purchased in a written support package.</w:t>
      </w:r>
    </w:p>
    <w:p>
      <w:pPr>
        <w:pStyle w:val="ListBullet"/>
      </w:pPr>
      <w:r>
        <w:t>Cybersecurity monitoring, managed detection and response, or penetration testing unless expressly included.</w:t>
      </w:r>
    </w:p>
    <w:p>
      <w:pPr>
        <w:pStyle w:val="ListBullet"/>
      </w:pPr>
      <w:r>
        <w:t>Hardware replacement beyond applicable manufacturer warranty or purchased support terms.</w:t>
      </w:r>
    </w:p>
    <w:p>
      <w:pPr>
        <w:pStyle w:val="Heading1"/>
      </w:pPr>
      <w:r>
        <w:rPr>
          <w:b/>
        </w:rPr>
        <w:t>5. Responsibilities of Partner</w:t>
      </w:r>
    </w:p>
    <w:p>
      <w:pPr>
        <w:pStyle w:val="ListBullet"/>
      </w:pPr>
      <w:r>
        <w:t>Maintain a qualified point of contact and escalation contact for Customer and Theloris-related coordination.</w:t>
      </w:r>
    </w:p>
    <w:p>
      <w:pPr>
        <w:pStyle w:val="ListBullet"/>
      </w:pPr>
      <w:r>
        <w:t>Perform services in a professional and workmanlike manner consistent with the applicable SOW and industry practices.</w:t>
      </w:r>
    </w:p>
    <w:p>
      <w:pPr>
        <w:pStyle w:val="ListBullet"/>
      </w:pPr>
      <w:r>
        <w:t>Maintain appropriately trained personnel for the services offered and avoid assigning unqualified personnel to regulated-support activities.</w:t>
      </w:r>
    </w:p>
    <w:p>
      <w:pPr>
        <w:pStyle w:val="ListBullet"/>
      </w:pPr>
      <w:r>
        <w:t>Maintain records of service interventions, ticket notes, time spent, changes performed, deliverables provided, and open issues.</w:t>
      </w:r>
    </w:p>
    <w:p>
      <w:pPr>
        <w:pStyle w:val="ListBullet"/>
      </w:pPr>
      <w:r>
        <w:t>Follow Customer site safety, security, confidentiality, and access procedures when on site or when accessing Customer systems remotely.</w:t>
      </w:r>
    </w:p>
    <w:p>
      <w:pPr>
        <w:pStyle w:val="ListBullet"/>
      </w:pPr>
      <w:r>
        <w:t>Use approved BATCHXPLORER product materials and avoid making unauthorized product, roadmap, regulatory, or validation claims.</w:t>
      </w:r>
    </w:p>
    <w:p>
      <w:pPr>
        <w:pStyle w:val="ListBullet"/>
      </w:pPr>
      <w:r>
        <w:t>Escalate potential product defects, security incidents, data-integrity concerns, or scope conflicts to Theloris and Customer as applicable.</w:t>
      </w:r>
    </w:p>
    <w:p>
      <w:pPr>
        <w:pStyle w:val="Heading1"/>
      </w:pPr>
      <w:r>
        <w:rPr>
          <w:b/>
        </w:rPr>
        <w:t>6. Responsibilities of Customer</w:t>
      </w:r>
    </w:p>
    <w:p>
      <w:pPr>
        <w:pStyle w:val="ListBullet"/>
      </w:pPr>
      <w:r>
        <w:t>Provide primary and secondary points of contact, including a technical contact and business/system owner where applicable.</w:t>
      </w:r>
    </w:p>
    <w:p>
      <w:pPr>
        <w:pStyle w:val="ListBullet"/>
      </w:pPr>
      <w:r>
        <w:t>Provide timely access to required systems, facilities, data sources, network information, historian documentation, approved VPN/remote access, and site procedures.</w:t>
      </w:r>
    </w:p>
    <w:p>
      <w:pPr>
        <w:pStyle w:val="ListBullet"/>
      </w:pPr>
      <w:r>
        <w:t>Participate in document reviews, service reviews, training sessions, demos, acceptance reviews, and change-control discussions.</w:t>
      </w:r>
    </w:p>
    <w:p>
      <w:pPr>
        <w:pStyle w:val="ListBullet"/>
      </w:pPr>
      <w:r>
        <w:t>Submit service requests with enough detail to triage and reproduce issues, including screenshots, time ranges, affected users, affected equipment, and urgency.</w:t>
      </w:r>
    </w:p>
    <w:p>
      <w:pPr>
        <w:pStyle w:val="ListBullet"/>
      </w:pPr>
      <w:r>
        <w:t>Maintain responsibility for Customer data, intended use, GxP procedures, validation strategy, SOP approval, user authorization, and release/disposition decisions.</w:t>
      </w:r>
    </w:p>
    <w:p>
      <w:pPr>
        <w:pStyle w:val="ListBullet"/>
      </w:pPr>
      <w:r>
        <w:t>Approve SOWs, change orders, maintenance windows, and service tickets requiring on-site or billable work before Partner deployment.</w:t>
      </w:r>
    </w:p>
    <w:p>
      <w:pPr>
        <w:pStyle w:val="Heading1"/>
      </w:pPr>
      <w:r>
        <w:rPr>
          <w:b/>
        </w:rPr>
        <w:t>7. Support Channels, Service Hours, and Ticket Intake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880"/>
            <w:shd w:fill="D9EAF7"/>
          </w:tcPr>
          <w:p>
            <w:r>
              <w:rPr>
                <w:b/>
                <w:sz w:val="17"/>
              </w:rPr>
              <w:t>Item</w:t>
            </w:r>
          </w:p>
        </w:tc>
        <w:tc>
          <w:tcPr>
            <w:tcW w:type="dxa" w:w="7056"/>
            <w:shd w:fill="D9EAF7"/>
          </w:tcPr>
          <w:p>
            <w:r>
              <w:rPr>
                <w:b/>
                <w:sz w:val="17"/>
              </w:rPr>
              <w:t>Standard</w:t>
            </w:r>
          </w:p>
        </w:tc>
      </w:tr>
      <w:tr>
        <w:tc>
          <w:tcPr>
            <w:tcW w:type="dxa" w:w="2880"/>
            <w:vAlign w:val="top"/>
          </w:tcPr>
          <w:p>
            <w:r>
              <w:rPr>
                <w:sz w:val="17"/>
              </w:rPr>
              <w:t>Standard support channel</w:t>
            </w:r>
          </w:p>
        </w:tc>
        <w:tc>
          <w:tcPr>
            <w:tcW w:type="dxa" w:w="7056"/>
            <w:vAlign w:val="top"/>
          </w:tcPr>
          <w:p>
            <w:r>
              <w:rPr>
                <w:sz w:val="17"/>
              </w:rPr>
              <w:t>[Partner help desk URL / email / phone]</w:t>
            </w:r>
          </w:p>
        </w:tc>
      </w:tr>
      <w:tr>
        <w:tc>
          <w:tcPr>
            <w:tcW w:type="dxa" w:w="2880"/>
            <w:vAlign w:val="top"/>
          </w:tcPr>
          <w:p>
            <w:r>
              <w:rPr>
                <w:sz w:val="17"/>
              </w:rPr>
              <w:t>Normal service hours</w:t>
            </w:r>
          </w:p>
        </w:tc>
        <w:tc>
          <w:tcPr>
            <w:tcW w:type="dxa" w:w="7056"/>
            <w:vAlign w:val="top"/>
          </w:tcPr>
          <w:p>
            <w:r>
              <w:rPr>
                <w:sz w:val="17"/>
              </w:rPr>
              <w:t>[Monday-Friday, business hours, time zone]</w:t>
            </w:r>
          </w:p>
        </w:tc>
      </w:tr>
      <w:tr>
        <w:tc>
          <w:tcPr>
            <w:tcW w:type="dxa" w:w="2880"/>
            <w:vAlign w:val="top"/>
          </w:tcPr>
          <w:p>
            <w:r>
              <w:rPr>
                <w:sz w:val="17"/>
              </w:rPr>
              <w:t>After-hours support</w:t>
            </w:r>
          </w:p>
        </w:tc>
        <w:tc>
          <w:tcPr>
            <w:tcW w:type="dxa" w:w="7056"/>
            <w:vAlign w:val="top"/>
          </w:tcPr>
          <w:p>
            <w:r>
              <w:rPr>
                <w:sz w:val="17"/>
              </w:rPr>
              <w:t>[Available only if purchased / best effort / not included]</w:t>
            </w:r>
          </w:p>
        </w:tc>
      </w:tr>
      <w:tr>
        <w:tc>
          <w:tcPr>
            <w:tcW w:type="dxa" w:w="2880"/>
            <w:vAlign w:val="top"/>
          </w:tcPr>
          <w:p>
            <w:r>
              <w:rPr>
                <w:sz w:val="17"/>
              </w:rPr>
              <w:t>Ticket information required</w:t>
            </w:r>
          </w:p>
        </w:tc>
        <w:tc>
          <w:tcPr>
            <w:tcW w:type="dxa" w:w="7056"/>
            <w:vAlign w:val="top"/>
          </w:tcPr>
          <w:p>
            <w:r>
              <w:rPr>
                <w:sz w:val="17"/>
              </w:rPr>
              <w:t>Customer, site, contact, affected system, priority, requested service, date/time, description, screenshots/logs, remote/on-site requirement, approval contact.</w:t>
            </w:r>
          </w:p>
        </w:tc>
      </w:tr>
      <w:tr>
        <w:tc>
          <w:tcPr>
            <w:tcW w:type="dxa" w:w="2880"/>
            <w:vAlign w:val="top"/>
          </w:tcPr>
          <w:p>
            <w:r>
              <w:rPr>
                <w:sz w:val="17"/>
              </w:rPr>
              <w:t>Minimum on-site charge</w:t>
            </w:r>
          </w:p>
        </w:tc>
        <w:tc>
          <w:tcPr>
            <w:tcW w:type="dxa" w:w="7056"/>
            <w:vAlign w:val="top"/>
          </w:tcPr>
          <w:p>
            <w:r>
              <w:rPr>
                <w:sz w:val="17"/>
              </w:rPr>
              <w:t>[e.g., 4-hour minimum]</w:t>
            </w:r>
          </w:p>
        </w:tc>
      </w:tr>
    </w:tbl>
    <w:p>
      <w:pPr>
        <w:ind w:left="216" w:right="216"/>
      </w:pPr>
      <w:r>
        <w:rPr>
          <w:i/>
          <w:color w:val="505050"/>
          <w:sz w:val="18"/>
        </w:rPr>
        <w:t>The provided MSA example uses a service-portal model, ticket intake fields, and a four-hour minimum for deployed site service. See example sections 2.5 and 3.1.</w:t>
      </w:r>
    </w:p>
    <w:p>
      <w:pPr>
        <w:pStyle w:val="Heading1"/>
      </w:pPr>
      <w:r>
        <w:rPr>
          <w:b/>
        </w:rPr>
        <w:t>8. Service Level Targets</w:t>
      </w:r>
    </w:p>
    <w:p>
      <w:r>
        <w:t>The following targets apply unless superseded by a signed SOW or support package. Timeframes are measured during support hours unless a purchased 24x7 support package applies. Resolution times are targets, not guarantees, and depend on Customer access, third-party systems, Theloris product support, data-source availability, and hardware/vendor dependencies.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1440"/>
            <w:shd w:fill="D9EAF7"/>
          </w:tcPr>
          <w:p>
            <w:r>
              <w:rPr>
                <w:b/>
                <w:sz w:val="17"/>
              </w:rPr>
              <w:t>Priority</w:t>
            </w:r>
          </w:p>
        </w:tc>
        <w:tc>
          <w:tcPr>
            <w:tcW w:type="dxa" w:w="3744"/>
            <w:shd w:fill="D9EAF7"/>
          </w:tcPr>
          <w:p>
            <w:r>
              <w:rPr>
                <w:b/>
                <w:sz w:val="17"/>
              </w:rPr>
              <w:t>Examples</w:t>
            </w:r>
          </w:p>
        </w:tc>
        <w:tc>
          <w:tcPr>
            <w:tcW w:type="dxa" w:w="2304"/>
            <w:shd w:fill="D9EAF7"/>
          </w:tcPr>
          <w:p>
            <w:r>
              <w:rPr>
                <w:b/>
                <w:sz w:val="17"/>
              </w:rPr>
              <w:t>Acknowledgement target</w:t>
            </w:r>
          </w:p>
        </w:tc>
        <w:tc>
          <w:tcPr>
            <w:tcW w:type="dxa" w:w="2592"/>
            <w:shd w:fill="D9EAF7"/>
          </w:tcPr>
          <w:p>
            <w:r>
              <w:rPr>
                <w:b/>
                <w:sz w:val="17"/>
              </w:rPr>
              <w:t>Target handling</w:t>
            </w:r>
          </w:p>
        </w:tc>
      </w:tr>
      <w:tr>
        <w:tc>
          <w:tcPr>
            <w:tcW w:type="dxa" w:w="1440"/>
            <w:vAlign w:val="top"/>
          </w:tcPr>
          <w:p>
            <w:r>
              <w:rPr>
                <w:sz w:val="17"/>
              </w:rPr>
              <w:t>P1 Critical</w:t>
            </w:r>
          </w:p>
        </w:tc>
        <w:tc>
          <w:tcPr>
            <w:tcW w:type="dxa" w:w="3744"/>
            <w:vAlign w:val="top"/>
          </w:tcPr>
          <w:p>
            <w:r>
              <w:rPr>
                <w:sz w:val="17"/>
              </w:rPr>
              <w:t>Production-impacting outage of purchased BATCHXPLORER service or edge connectivity materially preventing agreed use; suspected security incident; critical data-access disruption.</w:t>
            </w:r>
          </w:p>
        </w:tc>
        <w:tc>
          <w:tcPr>
            <w:tcW w:type="dxa" w:w="2304"/>
            <w:vAlign w:val="top"/>
          </w:tcPr>
          <w:p>
            <w:r>
              <w:rPr>
                <w:sz w:val="17"/>
              </w:rPr>
              <w:t>Acknowledge within 1 business hour; begin triage as soon as practical.</w:t>
            </w:r>
          </w:p>
        </w:tc>
        <w:tc>
          <w:tcPr>
            <w:tcW w:type="dxa" w:w="2592"/>
            <w:vAlign w:val="top"/>
          </w:tcPr>
          <w:p>
            <w:r>
              <w:rPr>
                <w:sz w:val="17"/>
              </w:rPr>
              <w:t>Continuous or prioritized effort during support hours; provide updates at agreed intervals.</w:t>
            </w:r>
          </w:p>
        </w:tc>
      </w:tr>
      <w:tr>
        <w:tc>
          <w:tcPr>
            <w:tcW w:type="dxa" w:w="1440"/>
            <w:vAlign w:val="top"/>
          </w:tcPr>
          <w:p>
            <w:r>
              <w:rPr>
                <w:sz w:val="17"/>
              </w:rPr>
              <w:t>P2 High</w:t>
            </w:r>
          </w:p>
        </w:tc>
        <w:tc>
          <w:tcPr>
            <w:tcW w:type="dxa" w:w="3744"/>
            <w:vAlign w:val="top"/>
          </w:tcPr>
          <w:p>
            <w:r>
              <w:rPr>
                <w:sz w:val="17"/>
              </w:rPr>
              <w:t>Major feature degradation, failed report generation, unavailable gateway/data-source path, or issue materially affecting active support/validation work.</w:t>
            </w:r>
          </w:p>
        </w:tc>
        <w:tc>
          <w:tcPr>
            <w:tcW w:type="dxa" w:w="2304"/>
            <w:vAlign w:val="top"/>
          </w:tcPr>
          <w:p>
            <w:r>
              <w:rPr>
                <w:sz w:val="17"/>
              </w:rPr>
              <w:t>Acknowledge within 4 business hours.</w:t>
            </w:r>
          </w:p>
        </w:tc>
        <w:tc>
          <w:tcPr>
            <w:tcW w:type="dxa" w:w="2592"/>
            <w:vAlign w:val="top"/>
          </w:tcPr>
          <w:p>
            <w:r>
              <w:rPr>
                <w:sz w:val="17"/>
              </w:rPr>
              <w:t>Target workaround or plan within 2 business days.</w:t>
            </w:r>
          </w:p>
        </w:tc>
      </w:tr>
      <w:tr>
        <w:tc>
          <w:tcPr>
            <w:tcW w:type="dxa" w:w="1440"/>
            <w:vAlign w:val="top"/>
          </w:tcPr>
          <w:p>
            <w:r>
              <w:rPr>
                <w:sz w:val="17"/>
              </w:rPr>
              <w:t>P3 Normal</w:t>
            </w:r>
          </w:p>
        </w:tc>
        <w:tc>
          <w:tcPr>
            <w:tcW w:type="dxa" w:w="3744"/>
            <w:vAlign w:val="top"/>
          </w:tcPr>
          <w:p>
            <w:r>
              <w:rPr>
                <w:sz w:val="17"/>
              </w:rPr>
              <w:t>General troubleshooting, configuration questions, training assistance, non-critical errors, non-urgent report/configuration issues.</w:t>
            </w:r>
          </w:p>
        </w:tc>
        <w:tc>
          <w:tcPr>
            <w:tcW w:type="dxa" w:w="2304"/>
            <w:vAlign w:val="top"/>
          </w:tcPr>
          <w:p>
            <w:r>
              <w:rPr>
                <w:sz w:val="17"/>
              </w:rPr>
              <w:t>Acknowledge within 1 business day.</w:t>
            </w:r>
          </w:p>
        </w:tc>
        <w:tc>
          <w:tcPr>
            <w:tcW w:type="dxa" w:w="2592"/>
            <w:vAlign w:val="top"/>
          </w:tcPr>
          <w:p>
            <w:r>
              <w:rPr>
                <w:sz w:val="17"/>
              </w:rPr>
              <w:t>Target response or next-step plan within 5 business days.</w:t>
            </w:r>
          </w:p>
        </w:tc>
      </w:tr>
      <w:tr>
        <w:tc>
          <w:tcPr>
            <w:tcW w:type="dxa" w:w="1440"/>
            <w:vAlign w:val="top"/>
          </w:tcPr>
          <w:p>
            <w:r>
              <w:rPr>
                <w:sz w:val="17"/>
              </w:rPr>
              <w:t>P4 Request</w:t>
            </w:r>
          </w:p>
        </w:tc>
        <w:tc>
          <w:tcPr>
            <w:tcW w:type="dxa" w:w="3744"/>
            <w:vAlign w:val="top"/>
          </w:tcPr>
          <w:p>
            <w:r>
              <w:rPr>
                <w:sz w:val="17"/>
              </w:rPr>
              <w:t>Enhancement request, new workflow, additional training content, new data source, new package/renewal request.</w:t>
            </w:r>
          </w:p>
        </w:tc>
        <w:tc>
          <w:tcPr>
            <w:tcW w:type="dxa" w:w="2304"/>
            <w:vAlign w:val="top"/>
          </w:tcPr>
          <w:p>
            <w:r>
              <w:rPr>
                <w:sz w:val="17"/>
              </w:rPr>
              <w:t>Acknowledge within 2 business days.</w:t>
            </w:r>
          </w:p>
        </w:tc>
        <w:tc>
          <w:tcPr>
            <w:tcW w:type="dxa" w:w="2592"/>
            <w:vAlign w:val="top"/>
          </w:tcPr>
          <w:p>
            <w:r>
              <w:rPr>
                <w:sz w:val="17"/>
              </w:rPr>
              <w:t>Scoped through backlog, SOW, quote, or change order.</w:t>
            </w:r>
          </w:p>
        </w:tc>
      </w:tr>
    </w:tbl>
    <w:p>
      <w:pPr>
        <w:ind w:left="216" w:right="216"/>
      </w:pPr>
      <w:r>
        <w:rPr>
          <w:i/>
          <w:color w:val="505050"/>
          <w:sz w:val="18"/>
        </w:rPr>
        <w:t>SLA references commonly define service levels by support hours, availability, incident severity, response times, and exclusions. Define exact uptime/response metrics carefully and include scheduled maintenance and customer-side exclusions.</w:t>
      </w:r>
    </w:p>
    <w:p>
      <w:pPr>
        <w:pStyle w:val="Heading1"/>
      </w:pPr>
      <w:r>
        <w:rPr>
          <w:b/>
        </w:rPr>
        <w:t>9. Scheduled Maintenance; Emergency Maintenance; Change Management</w:t>
      </w:r>
    </w:p>
    <w:p>
      <w:pPr>
        <w:pStyle w:val="ListBullet"/>
      </w:pPr>
      <w:r>
        <w:t>Partner will coordinate planned maintenance or service-affecting changes with Customer and provide advance notice when practical.</w:t>
      </w:r>
    </w:p>
    <w:p>
      <w:pPr>
        <w:pStyle w:val="ListBullet"/>
      </w:pPr>
      <w:r>
        <w:t>Customer approval is required before Partner performs service-affecting on-site or remote changes, unless emergency action is required to prevent greater harm and the applicable SOW permits such action.</w:t>
      </w:r>
    </w:p>
    <w:p>
      <w:pPr>
        <w:pStyle w:val="ListBullet"/>
      </w:pPr>
      <w:r>
        <w:t>Changes that affect data flow, access, security, historian connectivity, report output, validation evidence, or operational procedures should be documented and reviewed with Customer before execution.</w:t>
      </w:r>
    </w:p>
    <w:p>
      <w:pPr>
        <w:pStyle w:val="ListBullet"/>
      </w:pPr>
      <w:r>
        <w:t>Emergency maintenance may be performed when needed to address a material incident, security concern, hardware issue, or system disruption, with follow-up documentation provided after the event.</w:t>
      </w:r>
    </w:p>
    <w:p>
      <w:pPr>
        <w:pStyle w:val="ListBullet"/>
      </w:pPr>
      <w:r>
        <w:t>Partner service changes do not replace Customer’s formal change-control, validation, or QA approval process where applicable.</w:t>
      </w:r>
    </w:p>
    <w:p>
      <w:pPr>
        <w:pStyle w:val="Heading1"/>
      </w:pPr>
      <w:r>
        <w:rPr>
          <w:b/>
        </w:rPr>
        <w:t>10. Monthly Service Reporting and Partner Statement</w:t>
      </w:r>
    </w:p>
    <w:p>
      <w:r>
        <w:t>If included in the applicable support package, Partner will provide a monthly service report or statement summarizing service activity, open items, tickets, support hours, billable services, customer actions, renewal status, and recommended next steps.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024"/>
            <w:shd w:fill="D9EAF7"/>
          </w:tcPr>
          <w:p>
            <w:r>
              <w:rPr>
                <w:b/>
                <w:sz w:val="17"/>
              </w:rPr>
              <w:t>Report section</w:t>
            </w:r>
          </w:p>
        </w:tc>
        <w:tc>
          <w:tcPr>
            <w:tcW w:type="dxa" w:w="6912"/>
            <w:shd w:fill="D9EAF7"/>
          </w:tcPr>
          <w:p>
            <w:r>
              <w:rPr>
                <w:b/>
                <w:sz w:val="17"/>
              </w:rPr>
              <w:t>Recommended content</w:t>
            </w:r>
          </w:p>
        </w:tc>
      </w:tr>
      <w:tr>
        <w:tc>
          <w:tcPr>
            <w:tcW w:type="dxa" w:w="3024"/>
            <w:vAlign w:val="top"/>
          </w:tcPr>
          <w:p>
            <w:r>
              <w:rPr>
                <w:sz w:val="17"/>
              </w:rPr>
              <w:t>Customer / site summary</w:t>
            </w:r>
          </w:p>
        </w:tc>
        <w:tc>
          <w:tcPr>
            <w:tcW w:type="dxa" w:w="6912"/>
            <w:vAlign w:val="top"/>
          </w:tcPr>
          <w:p>
            <w:r>
              <w:rPr>
                <w:sz w:val="17"/>
              </w:rPr>
              <w:t>Account name, site, support period, partner contact, customer contact.</w:t>
            </w:r>
          </w:p>
        </w:tc>
      </w:tr>
      <w:tr>
        <w:tc>
          <w:tcPr>
            <w:tcW w:type="dxa" w:w="3024"/>
            <w:vAlign w:val="top"/>
          </w:tcPr>
          <w:p>
            <w:r>
              <w:rPr>
                <w:sz w:val="17"/>
              </w:rPr>
              <w:t>Support activity</w:t>
            </w:r>
          </w:p>
        </w:tc>
        <w:tc>
          <w:tcPr>
            <w:tcW w:type="dxa" w:w="6912"/>
            <w:vAlign w:val="top"/>
          </w:tcPr>
          <w:p>
            <w:r>
              <w:rPr>
                <w:sz w:val="17"/>
              </w:rPr>
              <w:t>Tickets opened/closed, priority mix, time spent, on-site/remote activity, unresolved issues.</w:t>
            </w:r>
          </w:p>
        </w:tc>
      </w:tr>
      <w:tr>
        <w:tc>
          <w:tcPr>
            <w:tcW w:type="dxa" w:w="3024"/>
            <w:vAlign w:val="top"/>
          </w:tcPr>
          <w:p>
            <w:r>
              <w:rPr>
                <w:sz w:val="17"/>
              </w:rPr>
              <w:t>System / deployment summary</w:t>
            </w:r>
          </w:p>
        </w:tc>
        <w:tc>
          <w:tcPr>
            <w:tcW w:type="dxa" w:w="6912"/>
            <w:vAlign w:val="top"/>
          </w:tcPr>
          <w:p>
            <w:r>
              <w:rPr>
                <w:sz w:val="17"/>
              </w:rPr>
              <w:t>Gateway status, data-source issues, license/module status, upcoming renewal dates, known open risks.</w:t>
            </w:r>
          </w:p>
        </w:tc>
      </w:tr>
      <w:tr>
        <w:tc>
          <w:tcPr>
            <w:tcW w:type="dxa" w:w="3024"/>
            <w:vAlign w:val="top"/>
          </w:tcPr>
          <w:p>
            <w:r>
              <w:rPr>
                <w:sz w:val="17"/>
              </w:rPr>
              <w:t>Validation / training support</w:t>
            </w:r>
          </w:p>
        </w:tc>
        <w:tc>
          <w:tcPr>
            <w:tcW w:type="dxa" w:w="6912"/>
            <w:vAlign w:val="top"/>
          </w:tcPr>
          <w:p>
            <w:r>
              <w:rPr>
                <w:sz w:val="17"/>
              </w:rPr>
              <w:t>Documents reviewed, training sessions, walkthroughs, validation-support activities, open customer approvals.</w:t>
            </w:r>
          </w:p>
        </w:tc>
      </w:tr>
      <w:tr>
        <w:tc>
          <w:tcPr>
            <w:tcW w:type="dxa" w:w="3024"/>
            <w:vAlign w:val="top"/>
          </w:tcPr>
          <w:p>
            <w:r>
              <w:rPr>
                <w:sz w:val="17"/>
              </w:rPr>
              <w:t>Commercial summary</w:t>
            </w:r>
          </w:p>
        </w:tc>
        <w:tc>
          <w:tcPr>
            <w:tcW w:type="dxa" w:w="6912"/>
            <w:vAlign w:val="top"/>
          </w:tcPr>
          <w:p>
            <w:r>
              <w:rPr>
                <w:sz w:val="17"/>
              </w:rPr>
              <w:t>Recurring service fee, billable work, credits, expenses, partner services due, renewal/upsell recommendations.</w:t>
            </w:r>
          </w:p>
        </w:tc>
      </w:tr>
    </w:tbl>
    <w:p>
      <w:pPr>
        <w:pStyle w:val="Heading1"/>
      </w:pPr>
      <w:r>
        <w:rPr>
          <w:b/>
        </w:rPr>
        <w:t>11. Fees, Expenses, Invoicing, and Taxes</w:t>
      </w:r>
    </w:p>
    <w:p>
      <w:pPr>
        <w:pStyle w:val="ListBullet"/>
      </w:pPr>
      <w:r>
        <w:t>Fees are as stated in the applicable SOW, support package, quote, purchase order, or monthly service statement.</w:t>
      </w:r>
    </w:p>
    <w:p>
      <w:pPr>
        <w:pStyle w:val="ListBullet"/>
      </w:pPr>
      <w:r>
        <w:t>Unless otherwise agreed, invoices are due net 30 days from invoice date for undisputed amounts.</w:t>
      </w:r>
    </w:p>
    <w:p>
      <w:pPr>
        <w:pStyle w:val="ListBullet"/>
      </w:pPr>
      <w:r>
        <w:t>Partner may invoice recurring support fees in advance and time-and-material services in arrears unless otherwise stated in an SOW.</w:t>
      </w:r>
    </w:p>
    <w:p>
      <w:pPr>
        <w:pStyle w:val="ListBullet"/>
      </w:pPr>
      <w:r>
        <w:t>On-site services may be subject to minimum charges, travel time, travel expenses, lodging, meals, mileage, shipping, and parts markups as stated in the SOW.</w:t>
      </w:r>
    </w:p>
    <w:p>
      <w:pPr>
        <w:pStyle w:val="ListBullet"/>
      </w:pPr>
      <w:r>
        <w:t>Hardware, replacement parts, or third-party components may be billed at cost plus an agreed markup or passed through according to the SOW.</w:t>
      </w:r>
    </w:p>
    <w:p>
      <w:pPr>
        <w:pStyle w:val="ListBullet"/>
      </w:pPr>
      <w:r>
        <w:t>Customer is responsible for applicable taxes, except taxes based on Partner’s net income.</w:t>
      </w:r>
    </w:p>
    <w:p>
      <w:pPr>
        <w:pStyle w:val="Heading1"/>
      </w:pPr>
      <w:r>
        <w:rPr>
          <w:b/>
        </w:rPr>
        <w:t>12. Services Boundary; Theloris SaaS; Partner Services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1872"/>
            <w:shd w:fill="D9EAF7"/>
          </w:tcPr>
          <w:p>
            <w:r>
              <w:rPr>
                <w:b/>
                <w:sz w:val="17"/>
              </w:rPr>
              <w:t>Area</w:t>
            </w:r>
          </w:p>
        </w:tc>
        <w:tc>
          <w:tcPr>
            <w:tcW w:type="dxa" w:w="2736"/>
            <w:shd w:fill="D9EAF7"/>
          </w:tcPr>
          <w:p>
            <w:r>
              <w:rPr>
                <w:b/>
                <w:sz w:val="17"/>
              </w:rPr>
              <w:t>Theloris / BATCHXPLORER</w:t>
            </w:r>
          </w:p>
        </w:tc>
        <w:tc>
          <w:tcPr>
            <w:tcW w:type="dxa" w:w="2736"/>
            <w:shd w:fill="D9EAF7"/>
          </w:tcPr>
          <w:p>
            <w:r>
              <w:rPr>
                <w:b/>
                <w:sz w:val="17"/>
              </w:rPr>
              <w:t>Partner</w:t>
            </w:r>
          </w:p>
        </w:tc>
        <w:tc>
          <w:tcPr>
            <w:tcW w:type="dxa" w:w="2736"/>
            <w:shd w:fill="D9EAF7"/>
          </w:tcPr>
          <w:p>
            <w:r>
              <w:rPr>
                <w:b/>
                <w:sz w:val="17"/>
              </w:rPr>
              <w:t>Customer</w:t>
            </w:r>
          </w:p>
        </w:tc>
      </w:tr>
      <w:tr>
        <w:tc>
          <w:tcPr>
            <w:tcW w:type="dxa" w:w="1872"/>
            <w:vAlign w:val="top"/>
          </w:tcPr>
          <w:p>
            <w:r>
              <w:rPr>
                <w:sz w:val="17"/>
              </w:rPr>
              <w:t>SaaS subscription</w:t>
            </w:r>
          </w:p>
        </w:tc>
        <w:tc>
          <w:tcPr>
            <w:tcW w:type="dxa" w:w="2736"/>
            <w:vAlign w:val="top"/>
          </w:tcPr>
          <w:p>
            <w:r>
              <w:rPr>
                <w:sz w:val="17"/>
              </w:rPr>
              <w:t>Provides BATCHXPLORER platform subscription according to customer agreement.</w:t>
            </w:r>
          </w:p>
        </w:tc>
        <w:tc>
          <w:tcPr>
            <w:tcW w:type="dxa" w:w="2736"/>
            <w:vAlign w:val="top"/>
          </w:tcPr>
          <w:p>
            <w:r>
              <w:rPr>
                <w:sz w:val="17"/>
              </w:rPr>
              <w:t>May refer/co-sell, assist onboarding, and coordinate renewal if authorized.</w:t>
            </w:r>
          </w:p>
        </w:tc>
        <w:tc>
          <w:tcPr>
            <w:tcW w:type="dxa" w:w="2736"/>
            <w:vAlign w:val="top"/>
          </w:tcPr>
          <w:p>
            <w:r>
              <w:rPr>
                <w:sz w:val="17"/>
              </w:rPr>
              <w:t>Maintains subscription and authorized users.</w:t>
            </w:r>
          </w:p>
        </w:tc>
      </w:tr>
      <w:tr>
        <w:tc>
          <w:tcPr>
            <w:tcW w:type="dxa" w:w="1872"/>
            <w:vAlign w:val="top"/>
          </w:tcPr>
          <w:p>
            <w:r>
              <w:rPr>
                <w:sz w:val="17"/>
              </w:rPr>
              <w:t>Edge / historian services</w:t>
            </w:r>
          </w:p>
        </w:tc>
        <w:tc>
          <w:tcPr>
            <w:tcW w:type="dxa" w:w="2736"/>
            <w:vAlign w:val="top"/>
          </w:tcPr>
          <w:p>
            <w:r>
              <w:rPr>
                <w:sz w:val="17"/>
              </w:rPr>
              <w:t>Provides product guidance and supported interface documentation.</w:t>
            </w:r>
          </w:p>
        </w:tc>
        <w:tc>
          <w:tcPr>
            <w:tcW w:type="dxa" w:w="2736"/>
            <w:vAlign w:val="top"/>
          </w:tcPr>
          <w:p>
            <w:r>
              <w:rPr>
                <w:sz w:val="17"/>
              </w:rPr>
              <w:t>Quotes and performs site-specific edge/historian/OPC/PI support if purchased.</w:t>
            </w:r>
          </w:p>
        </w:tc>
        <w:tc>
          <w:tcPr>
            <w:tcW w:type="dxa" w:w="2736"/>
            <w:vAlign w:val="top"/>
          </w:tcPr>
          <w:p>
            <w:r>
              <w:rPr>
                <w:sz w:val="17"/>
              </w:rPr>
              <w:t>Provides site access, network approvals, source-system information, and owner approvals.</w:t>
            </w:r>
          </w:p>
        </w:tc>
      </w:tr>
      <w:tr>
        <w:tc>
          <w:tcPr>
            <w:tcW w:type="dxa" w:w="1872"/>
            <w:vAlign w:val="top"/>
          </w:tcPr>
          <w:p>
            <w:r>
              <w:rPr>
                <w:sz w:val="17"/>
              </w:rPr>
              <w:t>Validation support</w:t>
            </w:r>
          </w:p>
        </w:tc>
        <w:tc>
          <w:tcPr>
            <w:tcW w:type="dxa" w:w="2736"/>
            <w:vAlign w:val="top"/>
          </w:tcPr>
          <w:p>
            <w:r>
              <w:rPr>
                <w:sz w:val="17"/>
              </w:rPr>
              <w:t>Provides product-level documentation where available.</w:t>
            </w:r>
          </w:p>
        </w:tc>
        <w:tc>
          <w:tcPr>
            <w:tcW w:type="dxa" w:w="2736"/>
            <w:vAlign w:val="top"/>
          </w:tcPr>
          <w:p>
            <w:r>
              <w:rPr>
                <w:sz w:val="17"/>
              </w:rPr>
              <w:t>May support protocols, evidence gathering, and report review under SOW.</w:t>
            </w:r>
          </w:p>
        </w:tc>
        <w:tc>
          <w:tcPr>
            <w:tcW w:type="dxa" w:w="2736"/>
            <w:vAlign w:val="top"/>
          </w:tcPr>
          <w:p>
            <w:r>
              <w:rPr>
                <w:sz w:val="17"/>
              </w:rPr>
              <w:t>Owns final intended use, SOPs, validation approval, QA disposition, and release decisions.</w:t>
            </w:r>
          </w:p>
        </w:tc>
      </w:tr>
      <w:tr>
        <w:tc>
          <w:tcPr>
            <w:tcW w:type="dxa" w:w="1872"/>
            <w:vAlign w:val="top"/>
          </w:tcPr>
          <w:p>
            <w:r>
              <w:rPr>
                <w:sz w:val="17"/>
              </w:rPr>
              <w:t>Training</w:t>
            </w:r>
          </w:p>
        </w:tc>
        <w:tc>
          <w:tcPr>
            <w:tcW w:type="dxa" w:w="2736"/>
            <w:vAlign w:val="top"/>
          </w:tcPr>
          <w:p>
            <w:r>
              <w:rPr>
                <w:sz w:val="17"/>
              </w:rPr>
              <w:t>Provides product materials and general guidance.</w:t>
            </w:r>
          </w:p>
        </w:tc>
        <w:tc>
          <w:tcPr>
            <w:tcW w:type="dxa" w:w="2736"/>
            <w:vAlign w:val="top"/>
          </w:tcPr>
          <w:p>
            <w:r>
              <w:rPr>
                <w:sz w:val="17"/>
              </w:rPr>
              <w:t>May provide workflow-specific training, microtraining content, and user support.</w:t>
            </w:r>
          </w:p>
        </w:tc>
        <w:tc>
          <w:tcPr>
            <w:tcW w:type="dxa" w:w="2736"/>
            <w:vAlign w:val="top"/>
          </w:tcPr>
          <w:p>
            <w:r>
              <w:rPr>
                <w:sz w:val="17"/>
              </w:rPr>
              <w:t>Approves site training requirements and maintains training records unless otherwise agreed.</w:t>
            </w:r>
          </w:p>
        </w:tc>
      </w:tr>
    </w:tbl>
    <w:p>
      <w:pPr>
        <w:pStyle w:val="Heading1"/>
      </w:pPr>
      <w:r>
        <w:rPr>
          <w:b/>
        </w:rPr>
        <w:t>13. Customer Data; Confidentiality; Data Security</w:t>
      </w:r>
    </w:p>
    <w:p>
      <w:pPr>
        <w:pStyle w:val="ListBullet"/>
      </w:pPr>
      <w:r>
        <w:t>Customer Data remains the property of Customer unless otherwise agreed in writing.</w:t>
      </w:r>
    </w:p>
    <w:p>
      <w:pPr>
        <w:pStyle w:val="ListBullet"/>
      </w:pPr>
      <w:r>
        <w:t>Partner will use Customer Data only as necessary to perform the services and will not sell Customer Data or use it for unrelated marketing or product-development purposes without written authorization.</w:t>
      </w:r>
    </w:p>
    <w:p>
      <w:pPr>
        <w:pStyle w:val="ListBullet"/>
      </w:pPr>
      <w:r>
        <w:t>Partner will limit access to Customer Data to personnel and approved subcontractors who require access to perform services.</w:t>
      </w:r>
    </w:p>
    <w:p>
      <w:pPr>
        <w:pStyle w:val="ListBullet"/>
      </w:pPr>
      <w:r>
        <w:t>Partner will maintain commercially reasonable administrative, technical, and physical safeguards appropriate to the services performed.</w:t>
      </w:r>
    </w:p>
    <w:p>
      <w:pPr>
        <w:pStyle w:val="ListBullet"/>
      </w:pPr>
      <w:r>
        <w:t>Partner will protect credentials, API keys, VPN access, system access, and customer confidential information using reasonable security controls.</w:t>
      </w:r>
    </w:p>
    <w:p>
      <w:pPr>
        <w:pStyle w:val="ListBullet"/>
      </w:pPr>
      <w:r>
        <w:t>Partner will maintain logs or service records sufficient to support service accountability and investigation of support actions, where practical.</w:t>
      </w:r>
    </w:p>
    <w:p>
      <w:pPr>
        <w:ind w:left="216" w:right="216"/>
      </w:pPr>
      <w:r>
        <w:rPr>
          <w:i/>
          <w:color w:val="505050"/>
          <w:sz w:val="18"/>
        </w:rPr>
        <w:t>The example MSA includes substantial confidentiality, customer-data ownership, access-rights, security, incident-response, and audit provisions in Sections 5 and Exhibit A. This template uses a streamlined version appropriate for a partner/customer services template, but customers may require stronger terms in regulated environments.</w:t>
      </w:r>
    </w:p>
    <w:p>
      <w:pPr>
        <w:pStyle w:val="Heading1"/>
      </w:pPr>
      <w:r>
        <w:rPr>
          <w:b/>
        </w:rPr>
        <w:t>14. Information Security Incidents</w:t>
      </w:r>
    </w:p>
    <w:p>
      <w:r>
        <w:t>Partner will notify Customer without unreasonable delay after discovery of an actual or reasonably suspected unauthorized access, malicious infection, disclosure, loss, alteration, or compromise involving Customer Data or systems accessed by Partner in connection with the services. The notice should include, to the extent known:</w:t>
      </w:r>
    </w:p>
    <w:p>
      <w:pPr>
        <w:pStyle w:val="ListBullet"/>
      </w:pPr>
      <w:r>
        <w:t>nature of the incident or suspected incident;</w:t>
      </w:r>
    </w:p>
    <w:p>
      <w:pPr>
        <w:pStyle w:val="ListBullet"/>
      </w:pPr>
      <w:r>
        <w:t>affected systems or data categories;</w:t>
      </w:r>
    </w:p>
    <w:p>
      <w:pPr>
        <w:pStyle w:val="ListBullet"/>
      </w:pPr>
      <w:r>
        <w:t>known or suspected cause;</w:t>
      </w:r>
    </w:p>
    <w:p>
      <w:pPr>
        <w:pStyle w:val="ListBullet"/>
      </w:pPr>
      <w:r>
        <w:t>mitigation steps taken or planned;</w:t>
      </w:r>
    </w:p>
    <w:p>
      <w:pPr>
        <w:pStyle w:val="ListBullet"/>
      </w:pPr>
      <w:r>
        <w:t>Customer actions required; and</w:t>
      </w:r>
    </w:p>
    <w:p>
      <w:pPr>
        <w:pStyle w:val="ListBullet"/>
      </w:pPr>
      <w:r>
        <w:t>expected follow-up communication cadence.</w:t>
      </w:r>
    </w:p>
    <w:p>
      <w:pPr>
        <w:pStyle w:val="Heading1"/>
      </w:pPr>
      <w:r>
        <w:rPr>
          <w:b/>
        </w:rPr>
        <w:t>15. Intellectual Property; Product Materials; Work Product</w:t>
      </w:r>
    </w:p>
    <w:p>
      <w:r>
        <w:t>Theloris and/or its licensors retain ownership of BATCHXPLORER software, product documentation, underlying product architecture, templates, patent-pending workflows, trademarks, training materials, and pre-existing product materials. Partner and Customer receive only the rights expressly granted in their applicable agreements.</w:t>
      </w:r>
    </w:p>
    <w:p>
      <w:r>
        <w:t>Unless otherwise agreed in an SOW, Customer-specific deliverables created by Partner specifically for Customer, such as site-specific configuration notes, training records, validation-support summaries, or service reports, are provided for Customer’s internal use. Partner retains ownership of its pre-existing methodologies, templates, know-how, tools, and generic service materials, except to the extent incorporated Customer Confidential Information remains Customer property.</w:t>
      </w:r>
    </w:p>
    <w:p>
      <w:pPr>
        <w:pStyle w:val="ListBullet"/>
      </w:pPr>
      <w:r>
        <w:t>Partner shall not represent that Customer owns BATCHXPLORER software or Theloris product IP.</w:t>
      </w:r>
    </w:p>
    <w:p>
      <w:pPr>
        <w:pStyle w:val="ListBullet"/>
      </w:pPr>
      <w:r>
        <w:t>Partner shall not create or distribute modified BATCHXPLORER product materials without Theloris approval.</w:t>
      </w:r>
    </w:p>
    <w:p>
      <w:pPr>
        <w:pStyle w:val="ListBullet"/>
      </w:pPr>
      <w:r>
        <w:t>Customer may use service deliverables internally for operating, supporting, validating, training, or maintaining its BATCHXPLORER deployment, subject to applicable confidentiality terms.</w:t>
      </w:r>
    </w:p>
    <w:p>
      <w:pPr>
        <w:pStyle w:val="Heading1"/>
      </w:pPr>
      <w:r>
        <w:rPr>
          <w:b/>
        </w:rPr>
        <w:t>16. Warranty; Disclaimers; Limitations</w:t>
      </w:r>
    </w:p>
    <w:p>
      <w:pPr>
        <w:pStyle w:val="ListBullet"/>
      </w:pPr>
      <w:r>
        <w:t>Partner warrants that services will be performed in a professional and workmanlike manner by appropriately qualified personnel.</w:t>
      </w:r>
    </w:p>
    <w:p>
      <w:pPr>
        <w:pStyle w:val="ListBullet"/>
      </w:pPr>
      <w:r>
        <w:t>Partner does not warrant uninterrupted operation of third-party systems, customer networks, customer historians, utilities, cloud services, or other systems outside Partner’s control.</w:t>
      </w:r>
    </w:p>
    <w:p>
      <w:pPr>
        <w:pStyle w:val="ListBullet"/>
      </w:pPr>
      <w:r>
        <w:t>Partner does not warrant that Customer’s use of BATCHXPLORER will satisfy all regulatory, validation, quality, or business requirements absent Customer’s approved procedures, validation execution, and intended-use controls.</w:t>
      </w:r>
    </w:p>
    <w:p>
      <w:pPr>
        <w:pStyle w:val="ListBullet"/>
      </w:pPr>
      <w:r>
        <w:t>Any warranty for hardware or third-party products is limited to the applicable manufacturer or third-party warranty unless an SOW states otherwise.</w:t>
      </w:r>
    </w:p>
    <w:p>
      <w:pPr>
        <w:pStyle w:val="ListBullet"/>
      </w:pPr>
      <w:r>
        <w:t>Except as expressly stated, services are provided without additional warranties, whether express, implied, statutory, or otherwise, to the maximum extent permitted by law.</w:t>
      </w:r>
    </w:p>
    <w:p>
      <w:pPr>
        <w:pStyle w:val="Heading1"/>
      </w:pPr>
      <w:r>
        <w:rPr>
          <w:b/>
        </w:rPr>
        <w:t>17. Insurance; Indemnification; Limitation of Liability</w:t>
      </w:r>
    </w:p>
    <w:p>
      <w:r>
        <w:t>Each party should maintain insurance appropriate to its business and obligations. Insurance limits, certificates of insurance, additional insured requirements, and site-specific requirements should be stated in the applicable SOW or customer procurement documents.</w:t>
      </w:r>
    </w:p>
    <w:p>
      <w:r>
        <w:t>Each party should indemnify the other for third-party claims arising from its negligence, willful misconduct, breach of confidentiality, or infringement of third-party intellectual property rights, subject to negotiated limitations of liability. The parties should consult counsel to tailor indemnity, liability caps, exclusions, and insurance requirements to the transaction.</w:t>
      </w:r>
    </w:p>
    <w:p>
      <w:pPr>
        <w:ind w:left="216" w:right="216"/>
      </w:pPr>
      <w:r>
        <w:rPr>
          <w:i/>
          <w:color w:val="505050"/>
          <w:sz w:val="18"/>
        </w:rPr>
        <w:t>The provided MSA includes insurance and indemnification language on page 5 and a stronger security-related indemnification exhibit on pages 19-20. This template preserves the concept but leaves final liability/cap language to legal review.</w:t>
      </w:r>
    </w:p>
    <w:p>
      <w:pPr>
        <w:pStyle w:val="Heading1"/>
      </w:pPr>
      <w:r>
        <w:rPr>
          <w:b/>
        </w:rPr>
        <w:t>18. Termination; Suspension; Transition Assistance</w:t>
      </w:r>
    </w:p>
    <w:p>
      <w:pPr>
        <w:pStyle w:val="ListBullet"/>
      </w:pPr>
      <w:r>
        <w:t>Either party may terminate for convenience with [30] days’ written notice unless an SOW states otherwise.</w:t>
      </w:r>
    </w:p>
    <w:p>
      <w:pPr>
        <w:pStyle w:val="ListBullet"/>
      </w:pPr>
      <w:r>
        <w:t>Either party may terminate for material breach if the breach is not cured within [30] days after written notice.</w:t>
      </w:r>
    </w:p>
    <w:p>
      <w:pPr>
        <w:pStyle w:val="ListBullet"/>
      </w:pPr>
      <w:r>
        <w:t>Partner may suspend non-critical services for non-payment after written notice and opportunity to cure, subject to any mandatory support obligations stated in an SOW.</w:t>
      </w:r>
    </w:p>
    <w:p>
      <w:pPr>
        <w:pStyle w:val="ListBullet"/>
      </w:pPr>
      <w:r>
        <w:t>Upon termination, Partner will return or securely delete Customer Confidential Information and Customer Data in Partner’s possession, except for records retained for legal, audit, or legitimate business purposes.</w:t>
      </w:r>
    </w:p>
    <w:p>
      <w:pPr>
        <w:pStyle w:val="ListBullet"/>
      </w:pPr>
      <w:r>
        <w:t>Transition assistance, knowledge transfer, or export of service records may be provided under a final SOW or billable transition service package.</w:t>
      </w:r>
    </w:p>
    <w:p>
      <w:pPr>
        <w:pStyle w:val="Heading1"/>
      </w:pPr>
      <w:r>
        <w:rPr>
          <w:b/>
        </w:rPr>
        <w:t>19. Review and Governance</w:t>
      </w:r>
    </w:p>
    <w:p>
      <w:pPr>
        <w:pStyle w:val="ListBullet"/>
      </w:pPr>
      <w:r>
        <w:t>The parties should review this Agreement at least annually or before renewal of the support package.</w:t>
      </w:r>
    </w:p>
    <w:p>
      <w:pPr>
        <w:pStyle w:val="ListBullet"/>
      </w:pPr>
      <w:r>
        <w:t>Monthly or quarterly service-review meetings may be used to review open issues, support metrics, upcoming renewals, training gaps, change requests, and expansion opportunities.</w:t>
      </w:r>
    </w:p>
    <w:p>
      <w:pPr>
        <w:pStyle w:val="ListBullet"/>
      </w:pPr>
      <w:r>
        <w:t>Any amendment to this Agreement must be in writing and signed by authorized representatives of both parties.</w:t>
      </w:r>
    </w:p>
    <w:p>
      <w:pPr>
        <w:pStyle w:val="Heading1"/>
      </w:pPr>
      <w:r>
        <w:rPr>
          <w:b/>
        </w:rPr>
        <w:t>20. Signatures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968"/>
            <w:shd w:fill="D9EAF7"/>
          </w:tcPr>
          <w:p>
            <w:r>
              <w:rPr>
                <w:b/>
                <w:sz w:val="17"/>
              </w:rPr>
              <w:t>Customer</w:t>
            </w:r>
          </w:p>
        </w:tc>
        <w:tc>
          <w:tcPr>
            <w:tcW w:type="dxa" w:w="4968"/>
            <w:shd w:fill="D9EAF7"/>
          </w:tcPr>
          <w:p>
            <w:r>
              <w:rPr>
                <w:b/>
                <w:sz w:val="17"/>
              </w:rPr>
              <w:t>Service Provider / Partner</w:t>
            </w:r>
          </w:p>
        </w:tc>
      </w:tr>
      <w:tr>
        <w:tc>
          <w:tcPr>
            <w:tcW w:type="dxa" w:w="4968"/>
            <w:vAlign w:val="top"/>
          </w:tcPr>
          <w:p>
            <w:r>
              <w:rPr>
                <w:sz w:val="17"/>
              </w:rPr>
              <w:t>Legal name: ________________________________</w:t>
              <w:br/>
              <w:t>Authorized signer: __________________________</w:t>
              <w:br/>
              <w:t>Title: ______________________________________</w:t>
              <w:br/>
              <w:t>Date: _______________________________________</w:t>
            </w:r>
          </w:p>
        </w:tc>
        <w:tc>
          <w:tcPr>
            <w:tcW w:type="dxa" w:w="4968"/>
            <w:vAlign w:val="top"/>
          </w:tcPr>
          <w:p>
            <w:r>
              <w:rPr>
                <w:sz w:val="17"/>
              </w:rPr>
              <w:t>Legal name: ________________________________</w:t>
              <w:br/>
              <w:t>Authorized signer: __________________________</w:t>
              <w:br/>
              <w:t>Title: ______________________________________</w:t>
              <w:br/>
              <w:t>Date: _______________________________________</w:t>
            </w:r>
          </w:p>
        </w:tc>
      </w:tr>
    </w:tbl>
    <w:p>
      <w:pPr>
        <w:pStyle w:val="Heading1"/>
      </w:pPr>
      <w:r>
        <w:rPr>
          <w:b/>
        </w:rPr>
        <w:t>Exhibit A - Statement of Work Template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024"/>
            <w:shd w:fill="D9EAF7"/>
          </w:tcPr>
          <w:p>
            <w:r>
              <w:rPr>
                <w:b/>
                <w:sz w:val="17"/>
              </w:rPr>
              <w:t>SOW field</w:t>
            </w:r>
          </w:p>
        </w:tc>
        <w:tc>
          <w:tcPr>
            <w:tcW w:type="dxa" w:w="6912"/>
            <w:shd w:fill="D9EAF7"/>
          </w:tcPr>
          <w:p>
            <w:r>
              <w:rPr>
                <w:b/>
                <w:sz w:val="17"/>
              </w:rPr>
              <w:t>Description</w:t>
            </w:r>
          </w:p>
        </w:tc>
      </w:tr>
      <w:tr>
        <w:tc>
          <w:tcPr>
            <w:tcW w:type="dxa" w:w="3024"/>
            <w:vAlign w:val="top"/>
          </w:tcPr>
          <w:p>
            <w:r>
              <w:rPr>
                <w:sz w:val="17"/>
              </w:rPr>
              <w:t>SOW title / number</w:t>
            </w:r>
          </w:p>
        </w:tc>
        <w:tc>
          <w:tcPr>
            <w:tcW w:type="dxa" w:w="6912"/>
            <w:vAlign w:val="top"/>
          </w:tcPr>
          <w:p>
            <w:r>
              <w:rPr>
                <w:sz w:val="17"/>
              </w:rPr>
              <w:t>[Project or support package name and SOW ID]</w:t>
            </w:r>
          </w:p>
        </w:tc>
      </w:tr>
      <w:tr>
        <w:tc>
          <w:tcPr>
            <w:tcW w:type="dxa" w:w="3024"/>
            <w:vAlign w:val="top"/>
          </w:tcPr>
          <w:p>
            <w:r>
              <w:rPr>
                <w:sz w:val="17"/>
              </w:rPr>
              <w:t>Customer site / department</w:t>
            </w:r>
          </w:p>
        </w:tc>
        <w:tc>
          <w:tcPr>
            <w:tcW w:type="dxa" w:w="6912"/>
            <w:vAlign w:val="top"/>
          </w:tcPr>
          <w:p>
            <w:r>
              <w:rPr>
                <w:sz w:val="17"/>
              </w:rPr>
              <w:t>[Site, suite, department, or process area]</w:t>
            </w:r>
          </w:p>
        </w:tc>
      </w:tr>
      <w:tr>
        <w:tc>
          <w:tcPr>
            <w:tcW w:type="dxa" w:w="3024"/>
            <w:vAlign w:val="top"/>
          </w:tcPr>
          <w:p>
            <w:r>
              <w:rPr>
                <w:sz w:val="17"/>
              </w:rPr>
              <w:t>Service objective</w:t>
            </w:r>
          </w:p>
        </w:tc>
        <w:tc>
          <w:tcPr>
            <w:tcW w:type="dxa" w:w="6912"/>
            <w:vAlign w:val="top"/>
          </w:tcPr>
          <w:p>
            <w:r>
              <w:rPr>
                <w:sz w:val="17"/>
              </w:rPr>
              <w:t>[Why the services are being performed]</w:t>
            </w:r>
          </w:p>
        </w:tc>
      </w:tr>
      <w:tr>
        <w:tc>
          <w:tcPr>
            <w:tcW w:type="dxa" w:w="3024"/>
            <w:vAlign w:val="top"/>
          </w:tcPr>
          <w:p>
            <w:r>
              <w:rPr>
                <w:sz w:val="17"/>
              </w:rPr>
              <w:t>Scope of services</w:t>
            </w:r>
          </w:p>
        </w:tc>
        <w:tc>
          <w:tcPr>
            <w:tcW w:type="dxa" w:w="6912"/>
            <w:vAlign w:val="top"/>
          </w:tcPr>
          <w:p>
            <w:r>
              <w:rPr>
                <w:sz w:val="17"/>
              </w:rPr>
              <w:t>[Specific tasks to be performed]</w:t>
            </w:r>
          </w:p>
        </w:tc>
      </w:tr>
      <w:tr>
        <w:tc>
          <w:tcPr>
            <w:tcW w:type="dxa" w:w="3024"/>
            <w:vAlign w:val="top"/>
          </w:tcPr>
          <w:p>
            <w:r>
              <w:rPr>
                <w:sz w:val="17"/>
              </w:rPr>
              <w:t>Deliverables</w:t>
            </w:r>
          </w:p>
        </w:tc>
        <w:tc>
          <w:tcPr>
            <w:tcW w:type="dxa" w:w="6912"/>
            <w:vAlign w:val="top"/>
          </w:tcPr>
          <w:p>
            <w:r>
              <w:rPr>
                <w:sz w:val="17"/>
              </w:rPr>
              <w:t>[Documents, configurations, training, reports, service records]</w:t>
            </w:r>
          </w:p>
        </w:tc>
      </w:tr>
      <w:tr>
        <w:tc>
          <w:tcPr>
            <w:tcW w:type="dxa" w:w="3024"/>
            <w:vAlign w:val="top"/>
          </w:tcPr>
          <w:p>
            <w:r>
              <w:rPr>
                <w:sz w:val="17"/>
              </w:rPr>
              <w:t>Assumptions</w:t>
            </w:r>
          </w:p>
        </w:tc>
        <w:tc>
          <w:tcPr>
            <w:tcW w:type="dxa" w:w="6912"/>
            <w:vAlign w:val="top"/>
          </w:tcPr>
          <w:p>
            <w:r>
              <w:rPr>
                <w:sz w:val="17"/>
              </w:rPr>
              <w:t>[Customer access, data availability, hardware readiness, network access]</w:t>
            </w:r>
          </w:p>
        </w:tc>
      </w:tr>
      <w:tr>
        <w:tc>
          <w:tcPr>
            <w:tcW w:type="dxa" w:w="3024"/>
            <w:vAlign w:val="top"/>
          </w:tcPr>
          <w:p>
            <w:r>
              <w:rPr>
                <w:sz w:val="17"/>
              </w:rPr>
              <w:t>Exclusions</w:t>
            </w:r>
          </w:p>
        </w:tc>
        <w:tc>
          <w:tcPr>
            <w:tcW w:type="dxa" w:w="6912"/>
            <w:vAlign w:val="top"/>
          </w:tcPr>
          <w:p>
            <w:r>
              <w:rPr>
                <w:sz w:val="17"/>
              </w:rPr>
              <w:t>[What is not included]</w:t>
            </w:r>
          </w:p>
        </w:tc>
      </w:tr>
      <w:tr>
        <w:tc>
          <w:tcPr>
            <w:tcW w:type="dxa" w:w="3024"/>
            <w:vAlign w:val="top"/>
          </w:tcPr>
          <w:p>
            <w:r>
              <w:rPr>
                <w:sz w:val="17"/>
              </w:rPr>
              <w:t>Schedule</w:t>
            </w:r>
          </w:p>
        </w:tc>
        <w:tc>
          <w:tcPr>
            <w:tcW w:type="dxa" w:w="6912"/>
            <w:vAlign w:val="top"/>
          </w:tcPr>
          <w:p>
            <w:r>
              <w:rPr>
                <w:sz w:val="17"/>
              </w:rPr>
              <w:t>[Target dates, milestones, service windows]</w:t>
            </w:r>
          </w:p>
        </w:tc>
      </w:tr>
      <w:tr>
        <w:tc>
          <w:tcPr>
            <w:tcW w:type="dxa" w:w="3024"/>
            <w:vAlign w:val="top"/>
          </w:tcPr>
          <w:p>
            <w:r>
              <w:rPr>
                <w:sz w:val="17"/>
              </w:rPr>
              <w:t>Fees and expenses</w:t>
            </w:r>
          </w:p>
        </w:tc>
        <w:tc>
          <w:tcPr>
            <w:tcW w:type="dxa" w:w="6912"/>
            <w:vAlign w:val="top"/>
          </w:tcPr>
          <w:p>
            <w:r>
              <w:rPr>
                <w:sz w:val="17"/>
              </w:rPr>
              <w:t>[Recurring fees, T&amp;M rates, fixed fees, travel, parts, markups]</w:t>
            </w:r>
          </w:p>
        </w:tc>
      </w:tr>
      <w:tr>
        <w:tc>
          <w:tcPr>
            <w:tcW w:type="dxa" w:w="3024"/>
            <w:vAlign w:val="top"/>
          </w:tcPr>
          <w:p>
            <w:r>
              <w:rPr>
                <w:sz w:val="17"/>
              </w:rPr>
              <w:t>Acceptance criteria</w:t>
            </w:r>
          </w:p>
        </w:tc>
        <w:tc>
          <w:tcPr>
            <w:tcW w:type="dxa" w:w="6912"/>
            <w:vAlign w:val="top"/>
          </w:tcPr>
          <w:p>
            <w:r>
              <w:rPr>
                <w:sz w:val="17"/>
              </w:rPr>
              <w:t>[How completion is confirmed]</w:t>
            </w:r>
          </w:p>
        </w:tc>
      </w:tr>
      <w:tr>
        <w:tc>
          <w:tcPr>
            <w:tcW w:type="dxa" w:w="3024"/>
            <w:vAlign w:val="top"/>
          </w:tcPr>
          <w:p>
            <w:r>
              <w:rPr>
                <w:sz w:val="17"/>
              </w:rPr>
              <w:t>Change control</w:t>
            </w:r>
          </w:p>
        </w:tc>
        <w:tc>
          <w:tcPr>
            <w:tcW w:type="dxa" w:w="6912"/>
            <w:vAlign w:val="top"/>
          </w:tcPr>
          <w:p>
            <w:r>
              <w:rPr>
                <w:sz w:val="17"/>
              </w:rPr>
              <w:t>[How changes are approved and priced]</w:t>
            </w:r>
          </w:p>
        </w:tc>
      </w:tr>
      <w:tr>
        <w:tc>
          <w:tcPr>
            <w:tcW w:type="dxa" w:w="3024"/>
            <w:vAlign w:val="top"/>
          </w:tcPr>
          <w:p>
            <w:r>
              <w:rPr>
                <w:sz w:val="17"/>
              </w:rPr>
              <w:t>Customer responsibilities</w:t>
            </w:r>
          </w:p>
        </w:tc>
        <w:tc>
          <w:tcPr>
            <w:tcW w:type="dxa" w:w="6912"/>
            <w:vAlign w:val="top"/>
          </w:tcPr>
          <w:p>
            <w:r>
              <w:rPr>
                <w:sz w:val="17"/>
              </w:rPr>
              <w:t>[Approvals, data access, site access, validation ownership]</w:t>
            </w:r>
          </w:p>
        </w:tc>
      </w:tr>
    </w:tbl>
    <w:p>
      <w:pPr>
        <w:pStyle w:val="Heading1"/>
      </w:pPr>
      <w:r>
        <w:rPr>
          <w:b/>
        </w:rPr>
        <w:t>Exhibit B - Support Package Examples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2304"/>
            <w:shd w:fill="D9EAF7"/>
          </w:tcPr>
          <w:p>
            <w:r>
              <w:rPr>
                <w:b/>
                <w:sz w:val="17"/>
              </w:rPr>
              <w:t>Package</w:t>
            </w:r>
          </w:p>
        </w:tc>
        <w:tc>
          <w:tcPr>
            <w:tcW w:type="dxa" w:w="5328"/>
            <w:shd w:fill="D9EAF7"/>
          </w:tcPr>
          <w:p>
            <w:r>
              <w:rPr>
                <w:b/>
                <w:sz w:val="17"/>
              </w:rPr>
              <w:t>Typical scope</w:t>
            </w:r>
          </w:p>
        </w:tc>
        <w:tc>
          <w:tcPr>
            <w:tcW w:type="dxa" w:w="2304"/>
            <w:shd w:fill="D9EAF7"/>
          </w:tcPr>
          <w:p>
            <w:r>
              <w:rPr>
                <w:b/>
                <w:sz w:val="17"/>
              </w:rPr>
              <w:t>Typical cadence</w:t>
            </w:r>
          </w:p>
        </w:tc>
      </w:tr>
      <w:tr>
        <w:tc>
          <w:tcPr>
            <w:tcW w:type="dxa" w:w="2304"/>
            <w:vAlign w:val="top"/>
          </w:tcPr>
          <w:p>
            <w:r>
              <w:rPr>
                <w:sz w:val="17"/>
              </w:rPr>
              <w:t>Basic Remote Support</w:t>
            </w:r>
          </w:p>
        </w:tc>
        <w:tc>
          <w:tcPr>
            <w:tcW w:type="dxa" w:w="5328"/>
            <w:vAlign w:val="top"/>
          </w:tcPr>
          <w:p>
            <w:r>
              <w:rPr>
                <w:sz w:val="17"/>
              </w:rPr>
              <w:t>Remote support, ticket triage, monthly statement, renewal coordination.</w:t>
            </w:r>
          </w:p>
        </w:tc>
        <w:tc>
          <w:tcPr>
            <w:tcW w:type="dxa" w:w="2304"/>
            <w:vAlign w:val="top"/>
          </w:tcPr>
          <w:p>
            <w:r>
              <w:rPr>
                <w:sz w:val="17"/>
              </w:rPr>
              <w:t>Business hours; monthly summary.</w:t>
            </w:r>
          </w:p>
        </w:tc>
      </w:tr>
      <w:tr>
        <w:tc>
          <w:tcPr>
            <w:tcW w:type="dxa" w:w="2304"/>
            <w:vAlign w:val="top"/>
          </w:tcPr>
          <w:p>
            <w:r>
              <w:rPr>
                <w:sz w:val="17"/>
              </w:rPr>
              <w:t>Edge / Historian Support</w:t>
            </w:r>
          </w:p>
        </w:tc>
        <w:tc>
          <w:tcPr>
            <w:tcW w:type="dxa" w:w="5328"/>
            <w:vAlign w:val="top"/>
          </w:tcPr>
          <w:p>
            <w:r>
              <w:rPr>
                <w:sz w:val="17"/>
              </w:rPr>
              <w:t>Gateway support, data-source checks, PI/OPC/MQTT coordination, connectivity troubleshooting.</w:t>
            </w:r>
          </w:p>
        </w:tc>
        <w:tc>
          <w:tcPr>
            <w:tcW w:type="dxa" w:w="2304"/>
            <w:vAlign w:val="top"/>
          </w:tcPr>
          <w:p>
            <w:r>
              <w:rPr>
                <w:sz w:val="17"/>
              </w:rPr>
              <w:t>Business hours; optional quarterly health check.</w:t>
            </w:r>
          </w:p>
        </w:tc>
      </w:tr>
      <w:tr>
        <w:tc>
          <w:tcPr>
            <w:tcW w:type="dxa" w:w="2304"/>
            <w:vAlign w:val="top"/>
          </w:tcPr>
          <w:p>
            <w:r>
              <w:rPr>
                <w:sz w:val="17"/>
              </w:rPr>
              <w:t>Validation Support</w:t>
            </w:r>
          </w:p>
        </w:tc>
        <w:tc>
          <w:tcPr>
            <w:tcW w:type="dxa" w:w="5328"/>
            <w:vAlign w:val="top"/>
          </w:tcPr>
          <w:p>
            <w:r>
              <w:rPr>
                <w:sz w:val="17"/>
              </w:rPr>
              <w:t>Support for IQ/OQ/PQ evidence, protocol review, controlled report review, traceability support, periodic review support.</w:t>
            </w:r>
          </w:p>
        </w:tc>
        <w:tc>
          <w:tcPr>
            <w:tcW w:type="dxa" w:w="2304"/>
            <w:vAlign w:val="top"/>
          </w:tcPr>
          <w:p>
            <w:r>
              <w:rPr>
                <w:sz w:val="17"/>
              </w:rPr>
              <w:t>Project or monthly retainer.</w:t>
            </w:r>
          </w:p>
        </w:tc>
      </w:tr>
      <w:tr>
        <w:tc>
          <w:tcPr>
            <w:tcW w:type="dxa" w:w="2304"/>
            <w:vAlign w:val="top"/>
          </w:tcPr>
          <w:p>
            <w:r>
              <w:rPr>
                <w:sz w:val="17"/>
              </w:rPr>
              <w:t>Enhanced Training Support</w:t>
            </w:r>
          </w:p>
        </w:tc>
        <w:tc>
          <w:tcPr>
            <w:tcW w:type="dxa" w:w="5328"/>
            <w:vAlign w:val="top"/>
          </w:tcPr>
          <w:p>
            <w:r>
              <w:rPr>
                <w:sz w:val="17"/>
              </w:rPr>
              <w:t>Workflow microtraining, SOP/procedure-linked walkthroughs, training support, training evidence reports.</w:t>
            </w:r>
          </w:p>
        </w:tc>
        <w:tc>
          <w:tcPr>
            <w:tcW w:type="dxa" w:w="2304"/>
            <w:vAlign w:val="top"/>
          </w:tcPr>
          <w:p>
            <w:r>
              <w:rPr>
                <w:sz w:val="17"/>
              </w:rPr>
              <w:t>Initial setup plus monthly/quarterly refresh.</w:t>
            </w:r>
          </w:p>
        </w:tc>
      </w:tr>
      <w:tr>
        <w:tc>
          <w:tcPr>
            <w:tcW w:type="dxa" w:w="2304"/>
            <w:vAlign w:val="top"/>
          </w:tcPr>
          <w:p>
            <w:r>
              <w:rPr>
                <w:sz w:val="17"/>
              </w:rPr>
              <w:t>Premium Partner Services</w:t>
            </w:r>
          </w:p>
        </w:tc>
        <w:tc>
          <w:tcPr>
            <w:tcW w:type="dxa" w:w="5328"/>
            <w:vAlign w:val="top"/>
          </w:tcPr>
          <w:p>
            <w:r>
              <w:rPr>
                <w:sz w:val="17"/>
              </w:rPr>
              <w:t>Combination of support, edge/historian, validation support, training support, and quarterly service review.</w:t>
            </w:r>
          </w:p>
        </w:tc>
        <w:tc>
          <w:tcPr>
            <w:tcW w:type="dxa" w:w="2304"/>
            <w:vAlign w:val="top"/>
          </w:tcPr>
          <w:p>
            <w:r>
              <w:rPr>
                <w:sz w:val="17"/>
              </w:rPr>
              <w:t>Monthly service review and quarterly planning.</w:t>
            </w:r>
          </w:p>
        </w:tc>
      </w:tr>
    </w:tbl>
    <w:p>
      <w:pPr>
        <w:pStyle w:val="Heading1"/>
      </w:pPr>
      <w:r>
        <w:rPr>
          <w:b/>
        </w:rPr>
        <w:t>Exhibit C - Monthly Service Statement Template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880"/>
            <w:shd w:fill="D9EAF7"/>
          </w:tcPr>
          <w:p>
            <w:r>
              <w:rPr>
                <w:b/>
                <w:sz w:val="17"/>
              </w:rPr>
              <w:t>Section</w:t>
            </w:r>
          </w:p>
        </w:tc>
        <w:tc>
          <w:tcPr>
            <w:tcW w:type="dxa" w:w="7056"/>
            <w:shd w:fill="D9EAF7"/>
          </w:tcPr>
          <w:p>
            <w:r>
              <w:rPr>
                <w:b/>
                <w:sz w:val="17"/>
              </w:rPr>
              <w:t>Example content</w:t>
            </w:r>
          </w:p>
        </w:tc>
      </w:tr>
      <w:tr>
        <w:tc>
          <w:tcPr>
            <w:tcW w:type="dxa" w:w="2880"/>
            <w:vAlign w:val="top"/>
          </w:tcPr>
          <w:p>
            <w:r>
              <w:rPr>
                <w:sz w:val="17"/>
              </w:rPr>
              <w:t>Account summary</w:t>
            </w:r>
          </w:p>
        </w:tc>
        <w:tc>
          <w:tcPr>
            <w:tcW w:type="dxa" w:w="7056"/>
            <w:vAlign w:val="top"/>
          </w:tcPr>
          <w:p>
            <w:r>
              <w:rPr>
                <w:sz w:val="17"/>
              </w:rPr>
              <w:t>Customer, site, service period, support package, partner contact, customer owner.</w:t>
            </w:r>
          </w:p>
        </w:tc>
      </w:tr>
      <w:tr>
        <w:tc>
          <w:tcPr>
            <w:tcW w:type="dxa" w:w="2880"/>
            <w:vAlign w:val="top"/>
          </w:tcPr>
          <w:p>
            <w:r>
              <w:rPr>
                <w:sz w:val="17"/>
              </w:rPr>
              <w:t>Ticket summary</w:t>
            </w:r>
          </w:p>
        </w:tc>
        <w:tc>
          <w:tcPr>
            <w:tcW w:type="dxa" w:w="7056"/>
            <w:vAlign w:val="top"/>
          </w:tcPr>
          <w:p>
            <w:r>
              <w:rPr>
                <w:sz w:val="17"/>
              </w:rPr>
              <w:t>Opened, closed, carryover, priority mix, aging, blockers.</w:t>
            </w:r>
          </w:p>
        </w:tc>
      </w:tr>
      <w:tr>
        <w:tc>
          <w:tcPr>
            <w:tcW w:type="dxa" w:w="2880"/>
            <w:vAlign w:val="top"/>
          </w:tcPr>
          <w:p>
            <w:r>
              <w:rPr>
                <w:sz w:val="17"/>
              </w:rPr>
              <w:t>Service activity</w:t>
            </w:r>
          </w:p>
        </w:tc>
        <w:tc>
          <w:tcPr>
            <w:tcW w:type="dxa" w:w="7056"/>
            <w:vAlign w:val="top"/>
          </w:tcPr>
          <w:p>
            <w:r>
              <w:rPr>
                <w:sz w:val="17"/>
              </w:rPr>
              <w:t>Remote support, on-site support, configuration work, training, validation-support activity.</w:t>
            </w:r>
          </w:p>
        </w:tc>
      </w:tr>
      <w:tr>
        <w:tc>
          <w:tcPr>
            <w:tcW w:type="dxa" w:w="2880"/>
            <w:vAlign w:val="top"/>
          </w:tcPr>
          <w:p>
            <w:r>
              <w:rPr>
                <w:sz w:val="17"/>
              </w:rPr>
              <w:t>System notes</w:t>
            </w:r>
          </w:p>
        </w:tc>
        <w:tc>
          <w:tcPr>
            <w:tcW w:type="dxa" w:w="7056"/>
            <w:vAlign w:val="top"/>
          </w:tcPr>
          <w:p>
            <w:r>
              <w:rPr>
                <w:sz w:val="17"/>
              </w:rPr>
              <w:t>Gateway status, source integration notes, upcoming renewals, open risks.</w:t>
            </w:r>
          </w:p>
        </w:tc>
      </w:tr>
      <w:tr>
        <w:tc>
          <w:tcPr>
            <w:tcW w:type="dxa" w:w="2880"/>
            <w:vAlign w:val="top"/>
          </w:tcPr>
          <w:p>
            <w:r>
              <w:rPr>
                <w:sz w:val="17"/>
              </w:rPr>
              <w:t>Commercial summary</w:t>
            </w:r>
          </w:p>
        </w:tc>
        <w:tc>
          <w:tcPr>
            <w:tcW w:type="dxa" w:w="7056"/>
            <w:vAlign w:val="top"/>
          </w:tcPr>
          <w:p>
            <w:r>
              <w:rPr>
                <w:sz w:val="17"/>
              </w:rPr>
              <w:t>Recurring service fee, T&amp;M, expenses, credits, hardware, replacement parts.</w:t>
            </w:r>
          </w:p>
        </w:tc>
      </w:tr>
      <w:tr>
        <w:tc>
          <w:tcPr>
            <w:tcW w:type="dxa" w:w="2880"/>
            <w:vAlign w:val="top"/>
          </w:tcPr>
          <w:p>
            <w:r>
              <w:rPr>
                <w:sz w:val="17"/>
              </w:rPr>
              <w:t>Next actions</w:t>
            </w:r>
          </w:p>
        </w:tc>
        <w:tc>
          <w:tcPr>
            <w:tcW w:type="dxa" w:w="7056"/>
            <w:vAlign w:val="top"/>
          </w:tcPr>
          <w:p>
            <w:r>
              <w:rPr>
                <w:sz w:val="17"/>
              </w:rPr>
              <w:t>Customer actions, partner actions, Theloris/product actions, planned support windows.</w:t>
            </w:r>
          </w:p>
        </w:tc>
      </w:tr>
    </w:tbl>
    <w:p>
      <w:pPr>
        <w:pStyle w:val="Heading1"/>
      </w:pPr>
      <w:r>
        <w:rPr>
          <w:b/>
        </w:rPr>
        <w:t>Exhibit D - Guardrails for BATCHXPLORER-Related Services</w:t>
      </w:r>
    </w:p>
    <w:p>
      <w:pPr>
        <w:pStyle w:val="ListBullet"/>
      </w:pPr>
      <w:r>
        <w:t>Partner services are separate from the BATCHXPLORER SaaS subscription unless expressly bundled in a signed agreement.</w:t>
      </w:r>
    </w:p>
    <w:p>
      <w:pPr>
        <w:pStyle w:val="ListBullet"/>
      </w:pPr>
      <w:r>
        <w:t>Partner may support validation activities but does not approve Customer’s validated state, GMP release, QA disposition, or product disposition.</w:t>
      </w:r>
    </w:p>
    <w:p>
      <w:pPr>
        <w:pStyle w:val="ListBullet"/>
      </w:pPr>
      <w:r>
        <w:t>Partner may assist with edge/historian connectivity but Customer is responsible for site network approvals, source-system access, and data stewardship.</w:t>
      </w:r>
    </w:p>
    <w:p>
      <w:pPr>
        <w:pStyle w:val="ListBullet"/>
      </w:pPr>
      <w:r>
        <w:t>Partner may provide training support and microtraining content but Customer remains responsible for training assignment, approval, and retention where required by its procedures.</w:t>
      </w:r>
    </w:p>
    <w:p>
      <w:pPr>
        <w:pStyle w:val="ListBullet"/>
      </w:pPr>
      <w:r>
        <w:t>Partner may recommend package changes or renewals but cannot bind Theloris to pricing, custom development, or unsupported product commitments without written authorization.</w:t>
      </w:r>
    </w:p>
    <w:p>
      <w:pPr>
        <w:pStyle w:val="Heading1"/>
      </w:pPr>
      <w:r>
        <w:rPr>
          <w:b/>
        </w:rPr>
        <w:t>Source Notes for Template Review</w:t>
      </w:r>
    </w:p>
    <w:p>
      <w:r>
        <w:t>This template was strengthened using the provided Data Historian and Alarm System MSA example and public service-agreement/SLA best-practice references. The provided MSA uses a master agreement plus SOW structure, customer/provider responsibilities, payment terms, independent-contractor status, insurance/indemnification, service hours, service portal intake, incident priorities, monthly service reporting, confidentiality, ownership of data, system security, access rights, and security/privacy obligations. Public SLA references emphasize clear service scope, service levels, response times, support channels, incident procedures, availability exclusions, service credits/remedies where applicable, and defined responsibilities. Final legal review is required.</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Draft template for partner/customer use. Legal review required before signature.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5A5A"/>
        <w:sz w:val="16"/>
      </w:rPr>
      <w:t>BATCHXPLORER Live | Partner Ongoing Service Agreement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5D7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